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12321" w14:textId="7D24EDD9" w:rsidR="00DF593B" w:rsidRDefault="004C1685" w:rsidP="004C1685">
      <w:pPr>
        <w:pStyle w:val="Title"/>
      </w:pPr>
      <w:r>
        <w:t>Transition plan for transferring</w:t>
      </w:r>
      <w:r w:rsidR="00DF593B">
        <w:t xml:space="preserve"> durability monitoring studies to </w:t>
      </w:r>
      <w:r>
        <w:t>a different implementing partner</w:t>
      </w:r>
    </w:p>
    <w:p w14:paraId="0CC5A382" w14:textId="77777777" w:rsidR="004C1685" w:rsidRPr="004C1685" w:rsidRDefault="004C1685" w:rsidP="004C1685"/>
    <w:p w14:paraId="2FD3D3E3" w14:textId="0BFE41FC" w:rsidR="00DF593B" w:rsidRDefault="00DF593B">
      <w:r>
        <w:t xml:space="preserve">Durability </w:t>
      </w:r>
      <w:r w:rsidR="004C1685">
        <w:t xml:space="preserve">monitoring (DM) requires a total of approximately </w:t>
      </w:r>
      <w:r>
        <w:t>40 months of activity,</w:t>
      </w:r>
      <w:r w:rsidR="004C1685">
        <w:t xml:space="preserve"> starting</w:t>
      </w:r>
      <w:r>
        <w:t xml:space="preserve"> from identifying </w:t>
      </w:r>
      <w:r w:rsidR="004C1685">
        <w:t xml:space="preserve">monitoring </w:t>
      </w:r>
      <w:r>
        <w:t>sites and preparing IRB and study activities, to analyzing and writing up the final round of data collection and closing</w:t>
      </w:r>
      <w:r w:rsidR="004C1685">
        <w:t xml:space="preserve"> out</w:t>
      </w:r>
      <w:r>
        <w:t xml:space="preserve"> the study.</w:t>
      </w:r>
    </w:p>
    <w:p w14:paraId="6C748827" w14:textId="02AB581D" w:rsidR="00DF593B" w:rsidRDefault="004C1685">
      <w:r>
        <w:t>Given the 40-month timeframe</w:t>
      </w:r>
      <w:r w:rsidR="00DF593B">
        <w:t xml:space="preserve">, </w:t>
      </w:r>
      <w:r>
        <w:t>DM activities</w:t>
      </w:r>
      <w:r w:rsidR="00DF593B">
        <w:t xml:space="preserve"> </w:t>
      </w:r>
      <w:r>
        <w:t>may run across the ending dates of bilateral or global projects, depending on when they are initiated relative</w:t>
      </w:r>
      <w:bookmarkStart w:id="0" w:name="_GoBack"/>
      <w:bookmarkEnd w:id="0"/>
      <w:r>
        <w:t xml:space="preserve"> to the project’s lifespan</w:t>
      </w:r>
      <w:r w:rsidR="00DF593B">
        <w:t xml:space="preserve">. </w:t>
      </w:r>
      <w:r>
        <w:t>When this is the case, it requires early planning to effectively and smoothly transition the activities from one implementing partner to another.</w:t>
      </w:r>
    </w:p>
    <w:p w14:paraId="4D982519" w14:textId="026A3278" w:rsidR="00DF593B" w:rsidRDefault="004C1685">
      <w:r>
        <w:t>In Table 1, we illustrate a case in which a project’s end-of-project date is September 30</w:t>
      </w:r>
      <w:r w:rsidRPr="004C1685">
        <w:rPr>
          <w:vertAlign w:val="superscript"/>
        </w:rPr>
        <w:t>th</w:t>
      </w:r>
      <w:r>
        <w:t xml:space="preserve"> 2019. Given that the last three months of bilateral and global projects are generally times when activities are stopped in order to wrap up financial and technical reports, “ideal last-case” timing and “worst-case” timing are presented. </w:t>
      </w:r>
    </w:p>
    <w:p w14:paraId="60D3FD55" w14:textId="025FF8A0" w:rsidR="006E3A67" w:rsidRDefault="006E3A67" w:rsidP="006E3A67">
      <w:pPr>
        <w:pStyle w:val="Caption"/>
        <w:keepNext/>
      </w:pPr>
      <w:r>
        <w:t xml:space="preserve">Table </w:t>
      </w:r>
      <w:fldSimple w:instr=" SEQ Table \* ARABIC ">
        <w:r w:rsidR="00584FBE">
          <w:rPr>
            <w:noProof/>
          </w:rPr>
          <w:t>1</w:t>
        </w:r>
      </w:fldSimple>
      <w:r>
        <w:t xml:space="preserve">: </w:t>
      </w:r>
      <w:r w:rsidR="004C1685">
        <w:t xml:space="preserve">Sample </w:t>
      </w:r>
      <w:r>
        <w:t>Timeline for being able to complete full Durability Monitoring before EOP</w:t>
      </w:r>
    </w:p>
    <w:tbl>
      <w:tblPr>
        <w:tblStyle w:val="TableGrid"/>
        <w:tblW w:w="0" w:type="auto"/>
        <w:tblLook w:val="04A0" w:firstRow="1" w:lastRow="0" w:firstColumn="1" w:lastColumn="0" w:noHBand="0" w:noVBand="1"/>
      </w:tblPr>
      <w:tblGrid>
        <w:gridCol w:w="3116"/>
        <w:gridCol w:w="3117"/>
        <w:gridCol w:w="3117"/>
      </w:tblGrid>
      <w:tr w:rsidR="00DF593B" w:rsidRPr="00B92B14" w14:paraId="77610660" w14:textId="77777777" w:rsidTr="006E3A67">
        <w:trPr>
          <w:trHeight w:val="296"/>
        </w:trPr>
        <w:tc>
          <w:tcPr>
            <w:tcW w:w="3116" w:type="dxa"/>
          </w:tcPr>
          <w:p w14:paraId="3FAA8A22" w14:textId="77777777" w:rsidR="00DF593B" w:rsidRPr="00B92B14" w:rsidRDefault="00B92B14">
            <w:pPr>
              <w:rPr>
                <w:b/>
              </w:rPr>
            </w:pPr>
            <w:r w:rsidRPr="00B92B14">
              <w:rPr>
                <w:b/>
              </w:rPr>
              <w:t>Data activity</w:t>
            </w:r>
          </w:p>
        </w:tc>
        <w:tc>
          <w:tcPr>
            <w:tcW w:w="3117" w:type="dxa"/>
          </w:tcPr>
          <w:p w14:paraId="0C82158B" w14:textId="77777777" w:rsidR="00DF593B" w:rsidRPr="00B92B14" w:rsidRDefault="00B92B14">
            <w:pPr>
              <w:rPr>
                <w:b/>
              </w:rPr>
            </w:pPr>
            <w:r w:rsidRPr="00B92B14">
              <w:rPr>
                <w:b/>
              </w:rPr>
              <w:t>Ideal last-case</w:t>
            </w:r>
          </w:p>
        </w:tc>
        <w:tc>
          <w:tcPr>
            <w:tcW w:w="3117" w:type="dxa"/>
          </w:tcPr>
          <w:p w14:paraId="75812B24" w14:textId="77777777" w:rsidR="00DF593B" w:rsidRPr="00B92B14" w:rsidRDefault="00B92B14">
            <w:pPr>
              <w:rPr>
                <w:b/>
              </w:rPr>
            </w:pPr>
            <w:r w:rsidRPr="00B92B14">
              <w:rPr>
                <w:b/>
              </w:rPr>
              <w:t>Worst-case</w:t>
            </w:r>
          </w:p>
        </w:tc>
      </w:tr>
      <w:tr w:rsidR="004C1685" w14:paraId="31B78352" w14:textId="77777777" w:rsidTr="00DF593B">
        <w:tc>
          <w:tcPr>
            <w:tcW w:w="3116" w:type="dxa"/>
          </w:tcPr>
          <w:p w14:paraId="70D139E9" w14:textId="6835BB13" w:rsidR="004C1685" w:rsidRDefault="004C1685">
            <w:r>
              <w:t>Campaign distribution</w:t>
            </w:r>
          </w:p>
        </w:tc>
        <w:tc>
          <w:tcPr>
            <w:tcW w:w="3117" w:type="dxa"/>
          </w:tcPr>
          <w:p w14:paraId="25A78B3E" w14:textId="7056C362" w:rsidR="004C1685" w:rsidRDefault="004C1685">
            <w:r>
              <w:t>April 2016</w:t>
            </w:r>
          </w:p>
        </w:tc>
        <w:tc>
          <w:tcPr>
            <w:tcW w:w="3117" w:type="dxa"/>
          </w:tcPr>
          <w:p w14:paraId="27959D12" w14:textId="4B926DA1" w:rsidR="004C1685" w:rsidRDefault="004C1685">
            <w:r>
              <w:t>June 2017</w:t>
            </w:r>
          </w:p>
        </w:tc>
      </w:tr>
      <w:tr w:rsidR="00DF593B" w14:paraId="376C0DE8" w14:textId="77777777" w:rsidTr="00DF593B">
        <w:tc>
          <w:tcPr>
            <w:tcW w:w="3116" w:type="dxa"/>
          </w:tcPr>
          <w:p w14:paraId="603E8C48" w14:textId="77777777" w:rsidR="00DF593B" w:rsidRDefault="00DF593B">
            <w:r>
              <w:t>Baseline</w:t>
            </w:r>
            <w:r w:rsidR="00B92B14">
              <w:t xml:space="preserve"> fieldwork</w:t>
            </w:r>
          </w:p>
        </w:tc>
        <w:tc>
          <w:tcPr>
            <w:tcW w:w="3117" w:type="dxa"/>
          </w:tcPr>
          <w:p w14:paraId="5A98864A" w14:textId="77777777" w:rsidR="00DF593B" w:rsidRDefault="00DF593B">
            <w:r>
              <w:t>October 2016</w:t>
            </w:r>
          </w:p>
        </w:tc>
        <w:tc>
          <w:tcPr>
            <w:tcW w:w="3117" w:type="dxa"/>
          </w:tcPr>
          <w:p w14:paraId="2864A072" w14:textId="77777777" w:rsidR="00DF593B" w:rsidRDefault="00DF593B">
            <w:r>
              <w:t>Dec 2016</w:t>
            </w:r>
          </w:p>
        </w:tc>
      </w:tr>
      <w:tr w:rsidR="00DF593B" w14:paraId="0300C520" w14:textId="77777777" w:rsidTr="00DF593B">
        <w:tc>
          <w:tcPr>
            <w:tcW w:w="3116" w:type="dxa"/>
          </w:tcPr>
          <w:p w14:paraId="475E449D" w14:textId="77777777" w:rsidR="00DF593B" w:rsidRDefault="00DF593B">
            <w:r>
              <w:t>12M</w:t>
            </w:r>
            <w:r w:rsidR="00B92B14">
              <w:t xml:space="preserve"> fieldwork</w:t>
            </w:r>
          </w:p>
        </w:tc>
        <w:tc>
          <w:tcPr>
            <w:tcW w:w="3117" w:type="dxa"/>
          </w:tcPr>
          <w:p w14:paraId="067B11E2" w14:textId="77777777" w:rsidR="00DF593B" w:rsidRDefault="00DF593B">
            <w:r>
              <w:t>April 2017</w:t>
            </w:r>
          </w:p>
        </w:tc>
        <w:tc>
          <w:tcPr>
            <w:tcW w:w="3117" w:type="dxa"/>
          </w:tcPr>
          <w:p w14:paraId="3A69AC38" w14:textId="77777777" w:rsidR="00DF593B" w:rsidRDefault="00DF593B">
            <w:r>
              <w:t>June 2017</w:t>
            </w:r>
          </w:p>
        </w:tc>
      </w:tr>
      <w:tr w:rsidR="00DF593B" w14:paraId="6F628450" w14:textId="77777777" w:rsidTr="00DF593B">
        <w:tc>
          <w:tcPr>
            <w:tcW w:w="3116" w:type="dxa"/>
          </w:tcPr>
          <w:p w14:paraId="4F971BDD" w14:textId="77777777" w:rsidR="00DF593B" w:rsidRDefault="00DF593B">
            <w:r>
              <w:t>24M</w:t>
            </w:r>
            <w:r w:rsidR="00B92B14">
              <w:t xml:space="preserve"> fieldwork</w:t>
            </w:r>
          </w:p>
        </w:tc>
        <w:tc>
          <w:tcPr>
            <w:tcW w:w="3117" w:type="dxa"/>
          </w:tcPr>
          <w:p w14:paraId="7314D2D0" w14:textId="77777777" w:rsidR="00DF593B" w:rsidRDefault="00DF593B">
            <w:r>
              <w:t>April 2018</w:t>
            </w:r>
          </w:p>
        </w:tc>
        <w:tc>
          <w:tcPr>
            <w:tcW w:w="3117" w:type="dxa"/>
          </w:tcPr>
          <w:p w14:paraId="00E86B21" w14:textId="77777777" w:rsidR="00DF593B" w:rsidRDefault="00DF593B">
            <w:r>
              <w:t>June 2018</w:t>
            </w:r>
          </w:p>
        </w:tc>
      </w:tr>
      <w:tr w:rsidR="00DF593B" w14:paraId="6E885946" w14:textId="77777777" w:rsidTr="00DF593B">
        <w:tc>
          <w:tcPr>
            <w:tcW w:w="3116" w:type="dxa"/>
          </w:tcPr>
          <w:p w14:paraId="317ADB2A" w14:textId="77777777" w:rsidR="00DF593B" w:rsidRDefault="00DF593B">
            <w:r>
              <w:t>36M</w:t>
            </w:r>
            <w:r w:rsidR="00B92B14">
              <w:t xml:space="preserve"> fieldwork</w:t>
            </w:r>
          </w:p>
        </w:tc>
        <w:tc>
          <w:tcPr>
            <w:tcW w:w="3117" w:type="dxa"/>
          </w:tcPr>
          <w:p w14:paraId="5136A110" w14:textId="77777777" w:rsidR="00DF593B" w:rsidRDefault="00DF593B">
            <w:r>
              <w:t>April 2019</w:t>
            </w:r>
          </w:p>
        </w:tc>
        <w:tc>
          <w:tcPr>
            <w:tcW w:w="3117" w:type="dxa"/>
          </w:tcPr>
          <w:p w14:paraId="37CDD59A" w14:textId="77777777" w:rsidR="00DF593B" w:rsidRDefault="00DF593B">
            <w:r>
              <w:t>June 2019</w:t>
            </w:r>
          </w:p>
        </w:tc>
      </w:tr>
      <w:tr w:rsidR="00DF593B" w14:paraId="4774FB1B" w14:textId="77777777" w:rsidTr="00DF593B">
        <w:tc>
          <w:tcPr>
            <w:tcW w:w="3116" w:type="dxa"/>
          </w:tcPr>
          <w:p w14:paraId="7FD5B495" w14:textId="77777777" w:rsidR="00DF593B" w:rsidRDefault="00DF593B">
            <w:r>
              <w:t>Wrap up</w:t>
            </w:r>
            <w:r w:rsidR="00B92B14">
              <w:t xml:space="preserve">/Reports </w:t>
            </w:r>
          </w:p>
        </w:tc>
        <w:tc>
          <w:tcPr>
            <w:tcW w:w="3117" w:type="dxa"/>
          </w:tcPr>
          <w:p w14:paraId="447DB688" w14:textId="77777777" w:rsidR="00DF593B" w:rsidRDefault="00DF593B">
            <w:r>
              <w:t>By Sept 2019</w:t>
            </w:r>
          </w:p>
        </w:tc>
        <w:tc>
          <w:tcPr>
            <w:tcW w:w="3117" w:type="dxa"/>
          </w:tcPr>
          <w:p w14:paraId="25D069BB" w14:textId="77777777" w:rsidR="00DF593B" w:rsidRDefault="00DF593B">
            <w:r>
              <w:t>By Sept 2019</w:t>
            </w:r>
          </w:p>
        </w:tc>
      </w:tr>
    </w:tbl>
    <w:p w14:paraId="6DD22248" w14:textId="77777777" w:rsidR="00DF593B" w:rsidRDefault="00DF593B"/>
    <w:p w14:paraId="317A1E71" w14:textId="5D6F1085" w:rsidR="00DF593B" w:rsidRDefault="006E3A67">
      <w:r>
        <w:t xml:space="preserve">Since capacity building among the local organization is an integral part of the DM activity, including fieldwork planning and data analysis, it’s possible, if funding is not interrupted, for the 36M fieldwork and final wrap up to be done by the local research organization entirely. </w:t>
      </w:r>
    </w:p>
    <w:p w14:paraId="34EE9950" w14:textId="77777777" w:rsidR="00D041EC" w:rsidRDefault="00D041EC">
      <w:r>
        <w:t>For clarity, the following terminology will be used to describe each actor in the DM activities:</w:t>
      </w:r>
    </w:p>
    <w:tbl>
      <w:tblPr>
        <w:tblStyle w:val="TableGrid"/>
        <w:tblW w:w="0" w:type="auto"/>
        <w:tblLook w:val="04A0" w:firstRow="1" w:lastRow="0" w:firstColumn="1" w:lastColumn="0" w:noHBand="0" w:noVBand="1"/>
      </w:tblPr>
      <w:tblGrid>
        <w:gridCol w:w="4675"/>
        <w:gridCol w:w="4675"/>
      </w:tblGrid>
      <w:tr w:rsidR="00D041EC" w:rsidRPr="00D041EC" w14:paraId="778A8BA7" w14:textId="77777777" w:rsidTr="00D041EC">
        <w:tc>
          <w:tcPr>
            <w:tcW w:w="4675" w:type="dxa"/>
          </w:tcPr>
          <w:p w14:paraId="407C57BF" w14:textId="77777777" w:rsidR="00D041EC" w:rsidRPr="00D041EC" w:rsidRDefault="00D041EC">
            <w:pPr>
              <w:rPr>
                <w:b/>
              </w:rPr>
            </w:pPr>
            <w:r w:rsidRPr="00D041EC">
              <w:rPr>
                <w:b/>
              </w:rPr>
              <w:t>Funding/Administrative flow</w:t>
            </w:r>
          </w:p>
        </w:tc>
        <w:tc>
          <w:tcPr>
            <w:tcW w:w="4675" w:type="dxa"/>
          </w:tcPr>
          <w:p w14:paraId="7D3F1160" w14:textId="77777777" w:rsidR="00D041EC" w:rsidRPr="00D041EC" w:rsidRDefault="00D041EC">
            <w:pPr>
              <w:rPr>
                <w:b/>
              </w:rPr>
            </w:pPr>
            <w:r w:rsidRPr="00D041EC">
              <w:rPr>
                <w:b/>
              </w:rPr>
              <w:t>Responsibility/Role</w:t>
            </w:r>
          </w:p>
        </w:tc>
      </w:tr>
      <w:tr w:rsidR="00D041EC" w14:paraId="5A5A0FE6" w14:textId="77777777" w:rsidTr="00D041EC">
        <w:tc>
          <w:tcPr>
            <w:tcW w:w="4675" w:type="dxa"/>
          </w:tcPr>
          <w:p w14:paraId="191C8892" w14:textId="77777777" w:rsidR="00D041EC" w:rsidRDefault="00D041EC">
            <w:r>
              <w:t>USAID</w:t>
            </w:r>
          </w:p>
        </w:tc>
        <w:tc>
          <w:tcPr>
            <w:tcW w:w="4675" w:type="dxa"/>
          </w:tcPr>
          <w:p w14:paraId="76B0091A" w14:textId="77777777" w:rsidR="00D041EC" w:rsidRDefault="00D041EC">
            <w:r>
              <w:t>Donor</w:t>
            </w:r>
          </w:p>
        </w:tc>
      </w:tr>
      <w:tr w:rsidR="00D041EC" w14:paraId="3D34BC3D" w14:textId="77777777" w:rsidTr="00D041EC">
        <w:tc>
          <w:tcPr>
            <w:tcW w:w="4675" w:type="dxa"/>
          </w:tcPr>
          <w:p w14:paraId="4C20C24C" w14:textId="77777777" w:rsidR="00D041EC" w:rsidRDefault="00D041EC">
            <w:r>
              <w:t>Awardee/Contractor</w:t>
            </w:r>
          </w:p>
        </w:tc>
        <w:tc>
          <w:tcPr>
            <w:tcW w:w="4675" w:type="dxa"/>
          </w:tcPr>
          <w:p w14:paraId="1FCAABFD" w14:textId="77777777" w:rsidR="00D041EC" w:rsidRDefault="00D041EC">
            <w:r>
              <w:t>Implementation lead under USAID-awarded mechanism</w:t>
            </w:r>
          </w:p>
        </w:tc>
      </w:tr>
      <w:tr w:rsidR="00D041EC" w14:paraId="1E62A121" w14:textId="77777777" w:rsidTr="00D041EC">
        <w:tc>
          <w:tcPr>
            <w:tcW w:w="4675" w:type="dxa"/>
          </w:tcPr>
          <w:p w14:paraId="2B2633E6" w14:textId="77777777" w:rsidR="00D041EC" w:rsidRDefault="00D041EC">
            <w:r>
              <w:t>Sub-awardee/sub-contractor</w:t>
            </w:r>
          </w:p>
        </w:tc>
        <w:tc>
          <w:tcPr>
            <w:tcW w:w="4675" w:type="dxa"/>
          </w:tcPr>
          <w:p w14:paraId="73A1B9D2" w14:textId="77777777" w:rsidR="00D041EC" w:rsidRDefault="00D041EC">
            <w:r>
              <w:t>Partner organization in implementation mechanism, under lead organization</w:t>
            </w:r>
          </w:p>
        </w:tc>
      </w:tr>
      <w:tr w:rsidR="00D041EC" w14:paraId="28DC3163" w14:textId="77777777" w:rsidTr="00D041EC">
        <w:tc>
          <w:tcPr>
            <w:tcW w:w="4675" w:type="dxa"/>
          </w:tcPr>
          <w:p w14:paraId="48CC41EF" w14:textId="77777777" w:rsidR="00D041EC" w:rsidRDefault="00D041EC">
            <w:r>
              <w:t>Local Research Organization</w:t>
            </w:r>
          </w:p>
        </w:tc>
        <w:tc>
          <w:tcPr>
            <w:tcW w:w="4675" w:type="dxa"/>
          </w:tcPr>
          <w:p w14:paraId="5F0A4A95" w14:textId="77777777" w:rsidR="00D041EC" w:rsidRDefault="00D041EC">
            <w:r>
              <w:t xml:space="preserve">In-country organization contracted to perform data collection </w:t>
            </w:r>
          </w:p>
        </w:tc>
      </w:tr>
    </w:tbl>
    <w:p w14:paraId="225F7517" w14:textId="77777777" w:rsidR="00D041EC" w:rsidRDefault="00D041EC"/>
    <w:p w14:paraId="431BA9D4" w14:textId="6CF0314F" w:rsidR="006E3A67" w:rsidRDefault="008862D9" w:rsidP="004E5F21">
      <w:pPr>
        <w:pStyle w:val="Heading1"/>
      </w:pPr>
      <w:r>
        <w:t>Key considerations for the transfer process</w:t>
      </w:r>
    </w:p>
    <w:p w14:paraId="174F05E1" w14:textId="159C638D" w:rsidR="006E3A67" w:rsidRDefault="006E3A67" w:rsidP="004E5F21">
      <w:pPr>
        <w:pStyle w:val="ListParagraph"/>
        <w:numPr>
          <w:ilvl w:val="0"/>
          <w:numId w:val="1"/>
        </w:numPr>
      </w:pPr>
      <w:r w:rsidRPr="008862D9">
        <w:rPr>
          <w:b/>
        </w:rPr>
        <w:t>Technical considerations</w:t>
      </w:r>
      <w:r>
        <w:t xml:space="preserve">: In order to handover 36M fieldwork to another </w:t>
      </w:r>
      <w:r w:rsidR="00D041EC">
        <w:t>Awardee</w:t>
      </w:r>
      <w:r>
        <w:t xml:space="preserve">, all datasets, fieldwork materials, training materials, would be transferred to the </w:t>
      </w:r>
      <w:r w:rsidR="00D9136B">
        <w:t>new Awardee</w:t>
      </w:r>
      <w:r>
        <w:t xml:space="preserve">. Ideally the new </w:t>
      </w:r>
      <w:r w:rsidR="00D041EC">
        <w:t>Awardee</w:t>
      </w:r>
      <w:r>
        <w:t xml:space="preserve"> would maintain the same </w:t>
      </w:r>
      <w:r w:rsidR="00D041EC">
        <w:t xml:space="preserve">local </w:t>
      </w:r>
      <w:r>
        <w:t xml:space="preserve">research organization for consistency, although this is not required under USAID cooperative agreements. </w:t>
      </w:r>
    </w:p>
    <w:p w14:paraId="4DA156BD" w14:textId="555D4684" w:rsidR="006E3A67" w:rsidRDefault="006E3A67" w:rsidP="004E5F21">
      <w:pPr>
        <w:pStyle w:val="ListParagraph"/>
        <w:numPr>
          <w:ilvl w:val="0"/>
          <w:numId w:val="1"/>
        </w:numPr>
      </w:pPr>
      <w:r w:rsidRPr="008862D9">
        <w:rPr>
          <w:b/>
        </w:rPr>
        <w:t>IRB considerations</w:t>
      </w:r>
      <w:r>
        <w:t xml:space="preserve">: In most circumstances, the new </w:t>
      </w:r>
      <w:r w:rsidR="00D041EC">
        <w:t>Awardee</w:t>
      </w:r>
      <w:r>
        <w:t xml:space="preserve">’s IRB can </w:t>
      </w:r>
      <w:r w:rsidR="00412822">
        <w:t>defer to the original IRB</w:t>
      </w:r>
      <w:r>
        <w:t xml:space="preserve">. In situations where the new </w:t>
      </w:r>
      <w:r w:rsidR="00D041EC">
        <w:t>Awardee</w:t>
      </w:r>
      <w:r>
        <w:t xml:space="preserve">’s IRB requires review of the whole activity, having </w:t>
      </w:r>
      <w:r w:rsidR="00412822">
        <w:t>the original ethical approvals</w:t>
      </w:r>
      <w:r>
        <w:t xml:space="preserve"> already in place usually makes this process very rapid. </w:t>
      </w:r>
    </w:p>
    <w:p w14:paraId="41896DDF" w14:textId="77777777" w:rsidR="009352B5" w:rsidRDefault="009352B5" w:rsidP="004E5F21">
      <w:pPr>
        <w:pStyle w:val="ListParagraph"/>
        <w:numPr>
          <w:ilvl w:val="0"/>
          <w:numId w:val="1"/>
        </w:numPr>
      </w:pPr>
      <w:r w:rsidRPr="008862D9">
        <w:rPr>
          <w:b/>
        </w:rPr>
        <w:t>Administrative/contractual considerations</w:t>
      </w:r>
      <w:r>
        <w:t xml:space="preserve">: </w:t>
      </w:r>
      <w:r w:rsidR="00A12565">
        <w:t xml:space="preserve">There are </w:t>
      </w:r>
      <w:r w:rsidR="00B947BC">
        <w:t>several</w:t>
      </w:r>
      <w:r w:rsidR="00A12565">
        <w:t xml:space="preserve"> scenarios to consider.</w:t>
      </w:r>
    </w:p>
    <w:p w14:paraId="5048DC5A" w14:textId="4E1E576B" w:rsidR="00A12565" w:rsidRDefault="00412822" w:rsidP="004E5F21">
      <w:pPr>
        <w:pStyle w:val="ListParagraph"/>
        <w:numPr>
          <w:ilvl w:val="1"/>
          <w:numId w:val="1"/>
        </w:numPr>
      </w:pPr>
      <w:r>
        <w:t>The</w:t>
      </w:r>
      <w:r w:rsidR="00A12565">
        <w:t xml:space="preserve"> </w:t>
      </w:r>
      <w:r>
        <w:t>starting A</w:t>
      </w:r>
      <w:r w:rsidR="00D041EC">
        <w:t>wardee</w:t>
      </w:r>
      <w:r w:rsidR="00A12565">
        <w:t xml:space="preserve"> is able to continue the activity under a different </w:t>
      </w:r>
      <w:r w:rsidR="00D041EC">
        <w:t xml:space="preserve">USAID </w:t>
      </w:r>
      <w:r w:rsidR="00A12565">
        <w:t xml:space="preserve">mechanism. For example – if </w:t>
      </w:r>
      <w:r>
        <w:t>the Awardee</w:t>
      </w:r>
      <w:r w:rsidR="00A12565">
        <w:t xml:space="preserve"> has a malaria grant in Country X, or is a </w:t>
      </w:r>
      <w:r w:rsidR="00D041EC">
        <w:t xml:space="preserve">sub-awardee </w:t>
      </w:r>
      <w:r w:rsidR="00A12565">
        <w:t xml:space="preserve">on a </w:t>
      </w:r>
      <w:r w:rsidR="00D041EC">
        <w:t xml:space="preserve">different USAID </w:t>
      </w:r>
      <w:r w:rsidR="00A12565">
        <w:t xml:space="preserve">malaria </w:t>
      </w:r>
      <w:r w:rsidR="00D041EC">
        <w:t xml:space="preserve">mechanism </w:t>
      </w:r>
      <w:r w:rsidR="00A12565">
        <w:t xml:space="preserve">in Country X, </w:t>
      </w:r>
      <w:r>
        <w:t>the Awardee</w:t>
      </w:r>
      <w:r w:rsidR="00A12565">
        <w:t xml:space="preserve"> could </w:t>
      </w:r>
      <w:r>
        <w:t>continue</w:t>
      </w:r>
      <w:r w:rsidR="00A12565">
        <w:t xml:space="preserve"> as the implementing partner</w:t>
      </w:r>
      <w:r>
        <w:t xml:space="preserve"> under a different malaria mechanism</w:t>
      </w:r>
      <w:r w:rsidR="00A12565">
        <w:t xml:space="preserve">. This requires planning ahead regarding timeframes of possible other </w:t>
      </w:r>
      <w:r w:rsidR="00D041EC">
        <w:t xml:space="preserve">USAID funding </w:t>
      </w:r>
      <w:r w:rsidR="00A12565">
        <w:t>mechanisms in each country</w:t>
      </w:r>
      <w:r>
        <w:t xml:space="preserve"> that are underway</w:t>
      </w:r>
      <w:r w:rsidR="00A12565">
        <w:t>.</w:t>
      </w:r>
    </w:p>
    <w:p w14:paraId="2CC6184E" w14:textId="081EDCB4" w:rsidR="00412822" w:rsidRDefault="00A12565" w:rsidP="004E5F21">
      <w:pPr>
        <w:pStyle w:val="ListParagraph"/>
        <w:numPr>
          <w:ilvl w:val="1"/>
          <w:numId w:val="1"/>
        </w:numPr>
      </w:pPr>
      <w:r>
        <w:t xml:space="preserve">The </w:t>
      </w:r>
      <w:r w:rsidR="00412822">
        <w:t>starting Awardee</w:t>
      </w:r>
      <w:r>
        <w:t xml:space="preserve"> has no </w:t>
      </w:r>
      <w:r w:rsidR="00D041EC">
        <w:t xml:space="preserve">other USAID funding </w:t>
      </w:r>
      <w:r>
        <w:t xml:space="preserve">mechanism in place; </w:t>
      </w:r>
      <w:r w:rsidR="00412822">
        <w:t xml:space="preserve">the activity needs to be transferred to </w:t>
      </w:r>
      <w:r>
        <w:t xml:space="preserve">a new </w:t>
      </w:r>
      <w:r w:rsidR="00412822">
        <w:t>Awardee</w:t>
      </w:r>
      <w:r>
        <w:t xml:space="preserve"> under some other </w:t>
      </w:r>
      <w:r w:rsidR="00D041EC">
        <w:t xml:space="preserve">USAID funding </w:t>
      </w:r>
      <w:r>
        <w:t xml:space="preserve">mechanism. For example, </w:t>
      </w:r>
      <w:r w:rsidR="00412822">
        <w:t>an Awardee</w:t>
      </w:r>
      <w:r>
        <w:t xml:space="preserve"> begins the activity in </w:t>
      </w:r>
      <w:r w:rsidR="00DB3901">
        <w:t xml:space="preserve">Country Y, but at </w:t>
      </w:r>
      <w:r w:rsidR="00534BBB">
        <w:t>the end of their project (EOP)</w:t>
      </w:r>
      <w:r w:rsidR="00DB3901">
        <w:t xml:space="preserve">, they have no other funding mechanism </w:t>
      </w:r>
      <w:r w:rsidR="00D041EC">
        <w:t>in country Y</w:t>
      </w:r>
      <w:r w:rsidR="00DB3901">
        <w:t xml:space="preserve">. </w:t>
      </w:r>
    </w:p>
    <w:p w14:paraId="25E23452" w14:textId="77777777" w:rsidR="00412822" w:rsidRDefault="00DB3901" w:rsidP="004E5F21">
      <w:pPr>
        <w:pStyle w:val="ListParagraph"/>
        <w:numPr>
          <w:ilvl w:val="2"/>
          <w:numId w:val="1"/>
        </w:numPr>
      </w:pPr>
      <w:r>
        <w:t xml:space="preserve">One solution is </w:t>
      </w:r>
      <w:r w:rsidR="00403500">
        <w:t xml:space="preserve">for USAID </w:t>
      </w:r>
      <w:r>
        <w:t xml:space="preserve">to transfer the </w:t>
      </w:r>
      <w:r w:rsidR="00526736">
        <w:t xml:space="preserve">remaining DM activities </w:t>
      </w:r>
      <w:r>
        <w:t xml:space="preserve">directly to the </w:t>
      </w:r>
      <w:r w:rsidR="00D041EC">
        <w:t xml:space="preserve">local </w:t>
      </w:r>
      <w:r>
        <w:t xml:space="preserve">research </w:t>
      </w:r>
      <w:r w:rsidR="00D041EC">
        <w:t>organization</w:t>
      </w:r>
      <w:r w:rsidR="00412822">
        <w:t xml:space="preserve"> which may be partnering with the starting Awardee</w:t>
      </w:r>
      <w:r>
        <w:t xml:space="preserve">; </w:t>
      </w:r>
    </w:p>
    <w:p w14:paraId="163A4875" w14:textId="5556E983" w:rsidR="00A12565" w:rsidRDefault="00412822" w:rsidP="004E5F21">
      <w:pPr>
        <w:pStyle w:val="ListParagraph"/>
        <w:numPr>
          <w:ilvl w:val="2"/>
          <w:numId w:val="1"/>
        </w:numPr>
      </w:pPr>
      <w:r>
        <w:t>The</w:t>
      </w:r>
      <w:r w:rsidR="00DB3901">
        <w:t xml:space="preserve"> other is </w:t>
      </w:r>
      <w:r w:rsidR="00526736">
        <w:t>for a</w:t>
      </w:r>
      <w:r>
        <w:t xml:space="preserve"> </w:t>
      </w:r>
      <w:r w:rsidR="00526736">
        <w:t>n</w:t>
      </w:r>
      <w:r>
        <w:t>ew</w:t>
      </w:r>
      <w:r w:rsidR="00526736">
        <w:t xml:space="preserve"> Awardee under a </w:t>
      </w:r>
      <w:r w:rsidR="00D9136B">
        <w:t>different</w:t>
      </w:r>
      <w:r w:rsidR="00526736">
        <w:t xml:space="preserve"> USAID funding mechanism </w:t>
      </w:r>
      <w:r w:rsidR="00DB3901">
        <w:t xml:space="preserve">to </w:t>
      </w:r>
      <w:r>
        <w:t>take over the activity</w:t>
      </w:r>
      <w:r w:rsidR="00DB3901">
        <w:t xml:space="preserve">. </w:t>
      </w:r>
      <w:r w:rsidR="00526736">
        <w:t>For years prior to the EOP, this would</w:t>
      </w:r>
      <w:r w:rsidR="00DB3901">
        <w:t xml:space="preserve"> require having in mind which </w:t>
      </w:r>
      <w:r w:rsidR="00526736">
        <w:t xml:space="preserve">other USAID funding </w:t>
      </w:r>
      <w:r w:rsidR="00DB3901">
        <w:t>mechanism could take this on</w:t>
      </w:r>
      <w:r w:rsidR="00D9136B">
        <w:t xml:space="preserve"> and programming funding accordingly, using the normal MOP and reprogramming processes</w:t>
      </w:r>
      <w:r w:rsidR="00DB3901">
        <w:t xml:space="preserve">. </w:t>
      </w:r>
      <w:r>
        <w:t xml:space="preserve">If the new Awardee will be setting up any </w:t>
      </w:r>
      <w:proofErr w:type="spellStart"/>
      <w:r>
        <w:t>subawards</w:t>
      </w:r>
      <w:proofErr w:type="spellEnd"/>
      <w:r>
        <w:t xml:space="preserve"> itself to manage the activity (e.g. to a local research firm), keep in mind that </w:t>
      </w:r>
      <w:proofErr w:type="spellStart"/>
      <w:r>
        <w:t>s</w:t>
      </w:r>
      <w:r w:rsidR="00DB3901">
        <w:t>ubawards</w:t>
      </w:r>
      <w:proofErr w:type="spellEnd"/>
      <w:r w:rsidR="00DB3901">
        <w:t xml:space="preserve"> take about 6 months or more to set up</w:t>
      </w:r>
      <w:r w:rsidR="0055294F">
        <w:t>.</w:t>
      </w:r>
    </w:p>
    <w:p w14:paraId="54FA6939" w14:textId="55B6BCA0" w:rsidR="00A12565" w:rsidRDefault="00D31D88" w:rsidP="004E5F21">
      <w:pPr>
        <w:pStyle w:val="ListParagraph"/>
        <w:numPr>
          <w:ilvl w:val="1"/>
          <w:numId w:val="1"/>
        </w:numPr>
      </w:pPr>
      <w:r>
        <w:t xml:space="preserve">Thirdly, </w:t>
      </w:r>
      <w:r w:rsidR="00412822">
        <w:t xml:space="preserve">PMI may choose to transfer </w:t>
      </w:r>
      <w:r>
        <w:t xml:space="preserve">the activity directly to the </w:t>
      </w:r>
      <w:r w:rsidR="00322AC2">
        <w:t xml:space="preserve">local </w:t>
      </w:r>
      <w:r>
        <w:t xml:space="preserve">research </w:t>
      </w:r>
      <w:r w:rsidR="00412822">
        <w:t>organization</w:t>
      </w:r>
      <w:r>
        <w:t xml:space="preserve">, through an existing </w:t>
      </w:r>
      <w:r w:rsidR="00526736">
        <w:t xml:space="preserve">USAID </w:t>
      </w:r>
      <w:r>
        <w:t xml:space="preserve">malaria </w:t>
      </w:r>
      <w:r w:rsidR="00526736">
        <w:t xml:space="preserve">funding </w:t>
      </w:r>
      <w:r>
        <w:t>mechanism.</w:t>
      </w:r>
      <w:r w:rsidR="00322AC2">
        <w:t xml:space="preserve"> For example, the local National Institute of Health or University of </w:t>
      </w:r>
      <w:proofErr w:type="spellStart"/>
      <w:r w:rsidR="00322AC2">
        <w:t>CapitalCity</w:t>
      </w:r>
      <w:proofErr w:type="spellEnd"/>
      <w:r w:rsidR="00322AC2">
        <w:t xml:space="preserve"> may be implementing the actual fieldwork, and could be funded </w:t>
      </w:r>
      <w:r w:rsidR="004265B0">
        <w:t xml:space="preserve">directly by USAID, or </w:t>
      </w:r>
      <w:r w:rsidR="00322AC2">
        <w:t xml:space="preserve">by whatever </w:t>
      </w:r>
      <w:r w:rsidR="00526736">
        <w:t xml:space="preserve">USAID-funded </w:t>
      </w:r>
      <w:r w:rsidR="00322AC2">
        <w:t>bilateral malaria project is in place.</w:t>
      </w:r>
    </w:p>
    <w:p w14:paraId="25A39CCE" w14:textId="5E247C64" w:rsidR="00B61D4D" w:rsidRDefault="008862D9" w:rsidP="008862D9">
      <w:pPr>
        <w:pStyle w:val="ListParagraph"/>
        <w:numPr>
          <w:ilvl w:val="0"/>
          <w:numId w:val="1"/>
        </w:numPr>
      </w:pPr>
      <w:r w:rsidRPr="008862D9">
        <w:rPr>
          <w:b/>
        </w:rPr>
        <w:t>Timing considerations</w:t>
      </w:r>
      <w:r>
        <w:t xml:space="preserve">: </w:t>
      </w:r>
      <w:r w:rsidR="004265B0">
        <w:t xml:space="preserve">Keep in mind that reprogramming, transfer or set up of new </w:t>
      </w:r>
      <w:proofErr w:type="spellStart"/>
      <w:r w:rsidR="004265B0">
        <w:t>subawards</w:t>
      </w:r>
      <w:proofErr w:type="spellEnd"/>
      <w:r w:rsidR="004265B0">
        <w:t xml:space="preserve"> or subcontracts, and </w:t>
      </w:r>
      <w:proofErr w:type="spellStart"/>
      <w:r w:rsidR="004265B0">
        <w:t>workplan</w:t>
      </w:r>
      <w:proofErr w:type="spellEnd"/>
      <w:r w:rsidR="004265B0">
        <w:t xml:space="preserve"> modifications and approval processes can take 6-12 months depending on the circumstances. The starting Awardee will need at least 3 months to conduct financial closeout. Therefore, the process of transferring DM activities should begin immediately following the final round of data collection that the starting Awardee is capable of conducting. </w:t>
      </w:r>
    </w:p>
    <w:p w14:paraId="06964693" w14:textId="7F44AA6A" w:rsidR="00393B36" w:rsidRDefault="00584FBE" w:rsidP="00393B36">
      <w:r>
        <w:t xml:space="preserve">Below in Table 2 we present additional </w:t>
      </w:r>
      <w:r w:rsidR="00393B36">
        <w:t>examples</w:t>
      </w:r>
      <w:r>
        <w:t xml:space="preserve"> in a case where the EOP is September 30</w:t>
      </w:r>
      <w:r w:rsidRPr="00584FBE">
        <w:rPr>
          <w:vertAlign w:val="superscript"/>
        </w:rPr>
        <w:t>th</w:t>
      </w:r>
      <w:r>
        <w:t xml:space="preserve"> 2019, and where data collection activities fall </w:t>
      </w:r>
      <w:r w:rsidR="00D032EC">
        <w:t xml:space="preserve">in the final quarter or </w:t>
      </w:r>
      <w:r>
        <w:t>outside of the project’s lifespan (in red).</w:t>
      </w:r>
    </w:p>
    <w:p w14:paraId="4C4C3866" w14:textId="1ADBB863" w:rsidR="00584FBE" w:rsidRDefault="00584FBE" w:rsidP="00584FBE">
      <w:pPr>
        <w:pStyle w:val="Caption"/>
        <w:keepNext/>
      </w:pPr>
      <w:r>
        <w:lastRenderedPageBreak/>
        <w:t xml:space="preserve">Table </w:t>
      </w:r>
      <w:fldSimple w:instr=" SEQ Table \* ARABIC ">
        <w:r>
          <w:rPr>
            <w:noProof/>
          </w:rPr>
          <w:t>2</w:t>
        </w:r>
      </w:fldSimple>
      <w:r>
        <w:t>: Project EOP of September 2019 - DM activities that will or will not fall into that timeframe, and implications.</w:t>
      </w:r>
    </w:p>
    <w:tbl>
      <w:tblPr>
        <w:tblStyle w:val="TableGrid"/>
        <w:tblW w:w="0" w:type="auto"/>
        <w:tblLook w:val="04A0" w:firstRow="1" w:lastRow="0" w:firstColumn="1" w:lastColumn="0" w:noHBand="0" w:noVBand="1"/>
      </w:tblPr>
      <w:tblGrid>
        <w:gridCol w:w="805"/>
        <w:gridCol w:w="2430"/>
        <w:gridCol w:w="2070"/>
        <w:gridCol w:w="4045"/>
      </w:tblGrid>
      <w:tr w:rsidR="00EF3CD5" w14:paraId="5F236C66" w14:textId="77777777" w:rsidTr="00EF3CD5">
        <w:tc>
          <w:tcPr>
            <w:tcW w:w="805" w:type="dxa"/>
            <w:vMerge w:val="restart"/>
            <w:vAlign w:val="center"/>
          </w:tcPr>
          <w:p w14:paraId="4E1E1E9D" w14:textId="77777777" w:rsidR="00EF3CD5" w:rsidRDefault="00EF3CD5" w:rsidP="00EF3CD5">
            <w:r>
              <w:t>2016</w:t>
            </w:r>
          </w:p>
        </w:tc>
        <w:tc>
          <w:tcPr>
            <w:tcW w:w="2430" w:type="dxa"/>
          </w:tcPr>
          <w:p w14:paraId="74894320" w14:textId="7B78CADE" w:rsidR="00EF3CD5" w:rsidRDefault="00584FBE" w:rsidP="00393B36">
            <w:r>
              <w:t>Mission</w:t>
            </w:r>
            <w:r w:rsidR="002B6FE1">
              <w:t xml:space="preserve"> initiates request for </w:t>
            </w:r>
            <w:r w:rsidR="00EF3CD5">
              <w:t>durability monitoring in 1</w:t>
            </w:r>
            <w:r w:rsidR="00EF3CD5" w:rsidRPr="00D6676D">
              <w:rPr>
                <w:vertAlign w:val="superscript"/>
              </w:rPr>
              <w:t>st</w:t>
            </w:r>
            <w:r w:rsidR="00EF3CD5">
              <w:t xml:space="preserve"> half of 2016</w:t>
            </w:r>
          </w:p>
        </w:tc>
        <w:tc>
          <w:tcPr>
            <w:tcW w:w="2070" w:type="dxa"/>
          </w:tcPr>
          <w:p w14:paraId="50E11783" w14:textId="77777777" w:rsidR="00EF3CD5" w:rsidRDefault="00EF3CD5" w:rsidP="00393B36">
            <w:r>
              <w:t>6M Nov 2016</w:t>
            </w:r>
          </w:p>
          <w:p w14:paraId="664FE437" w14:textId="77777777" w:rsidR="00EF3CD5" w:rsidRDefault="00EF3CD5" w:rsidP="00393B36">
            <w:r>
              <w:t>12M April 2017</w:t>
            </w:r>
          </w:p>
          <w:p w14:paraId="21F2F3D7" w14:textId="77777777" w:rsidR="00EF3CD5" w:rsidRDefault="00EF3CD5" w:rsidP="00393B36">
            <w:r>
              <w:t>24M April 2018</w:t>
            </w:r>
          </w:p>
          <w:p w14:paraId="00813B21" w14:textId="77777777" w:rsidR="00EF3CD5" w:rsidRDefault="00EF3CD5" w:rsidP="00393B36">
            <w:r>
              <w:t>36M April 2019</w:t>
            </w:r>
          </w:p>
        </w:tc>
        <w:tc>
          <w:tcPr>
            <w:tcW w:w="4045" w:type="dxa"/>
          </w:tcPr>
          <w:p w14:paraId="78C6010E" w14:textId="0C21A0A0" w:rsidR="00EF3CD5" w:rsidRDefault="00EF3CD5" w:rsidP="002B6FE1">
            <w:r>
              <w:t xml:space="preserve">All rounds of fieldwork and final write up can be completed before </w:t>
            </w:r>
            <w:r w:rsidR="002B6FE1">
              <w:t>the</w:t>
            </w:r>
            <w:r>
              <w:t xml:space="preserve"> EOP.</w:t>
            </w:r>
          </w:p>
        </w:tc>
      </w:tr>
      <w:tr w:rsidR="00EF3CD5" w14:paraId="2E106F23" w14:textId="77777777" w:rsidTr="00EF3CD5">
        <w:tc>
          <w:tcPr>
            <w:tcW w:w="805" w:type="dxa"/>
            <w:vMerge/>
            <w:vAlign w:val="center"/>
          </w:tcPr>
          <w:p w14:paraId="6D02633D" w14:textId="77777777" w:rsidR="00EF3CD5" w:rsidRDefault="00EF3CD5" w:rsidP="00EF3CD5"/>
        </w:tc>
        <w:tc>
          <w:tcPr>
            <w:tcW w:w="2430" w:type="dxa"/>
          </w:tcPr>
          <w:p w14:paraId="0FA6015E" w14:textId="6926E009" w:rsidR="00EF3CD5" w:rsidRDefault="00584FBE" w:rsidP="00CF16D2">
            <w:r>
              <w:t xml:space="preserve">Mission </w:t>
            </w:r>
            <w:r w:rsidR="002B6FE1">
              <w:t xml:space="preserve">initiates request for </w:t>
            </w:r>
            <w:r w:rsidR="00EF3CD5">
              <w:t>durability monitoring in 2</w:t>
            </w:r>
            <w:r w:rsidR="00EF3CD5" w:rsidRPr="00CF16D2">
              <w:rPr>
                <w:vertAlign w:val="superscript"/>
              </w:rPr>
              <w:t>nd</w:t>
            </w:r>
            <w:r w:rsidR="00EF3CD5">
              <w:t xml:space="preserve"> half of 2016</w:t>
            </w:r>
          </w:p>
        </w:tc>
        <w:tc>
          <w:tcPr>
            <w:tcW w:w="2070" w:type="dxa"/>
          </w:tcPr>
          <w:p w14:paraId="6E8F1D55" w14:textId="77777777" w:rsidR="00EF3CD5" w:rsidRDefault="00EF3CD5" w:rsidP="00393B36">
            <w:r>
              <w:t>6M Feb 2017</w:t>
            </w:r>
          </w:p>
          <w:p w14:paraId="036529D6" w14:textId="77777777" w:rsidR="00EF3CD5" w:rsidRDefault="00EF3CD5" w:rsidP="00393B36">
            <w:r>
              <w:t>12M Oct 2017</w:t>
            </w:r>
          </w:p>
          <w:p w14:paraId="5B02B635" w14:textId="77777777" w:rsidR="00EF3CD5" w:rsidRDefault="00EF3CD5" w:rsidP="00393B36">
            <w:r>
              <w:t>24M Oct 2018</w:t>
            </w:r>
          </w:p>
          <w:p w14:paraId="1214E354" w14:textId="77777777" w:rsidR="00EF3CD5" w:rsidRDefault="00EF3CD5" w:rsidP="00393B36">
            <w:r w:rsidRPr="00422FA9">
              <w:rPr>
                <w:color w:val="FF0000"/>
              </w:rPr>
              <w:t>36M Oct 2019</w:t>
            </w:r>
          </w:p>
        </w:tc>
        <w:tc>
          <w:tcPr>
            <w:tcW w:w="4045" w:type="dxa"/>
          </w:tcPr>
          <w:p w14:paraId="20A821FE" w14:textId="771E7043" w:rsidR="00D9136B" w:rsidRDefault="00D9136B" w:rsidP="00D9136B">
            <w:r>
              <w:t>Two options:</w:t>
            </w:r>
          </w:p>
          <w:p w14:paraId="5E953E91" w14:textId="50845E9E" w:rsidR="00D9136B" w:rsidRDefault="00D9136B" w:rsidP="00D9136B">
            <w:pPr>
              <w:pStyle w:val="ListParagraph"/>
              <w:numPr>
                <w:ilvl w:val="0"/>
                <w:numId w:val="3"/>
              </w:numPr>
            </w:pPr>
            <w:r>
              <w:t>Field the 36M data collection at 32-34M, which still provides enough data points for the median survival estimate.</w:t>
            </w:r>
          </w:p>
          <w:p w14:paraId="4661B959" w14:textId="7BD6129E" w:rsidR="00EF3CD5" w:rsidRDefault="00EF3CD5" w:rsidP="00D9136B">
            <w:pPr>
              <w:pStyle w:val="ListParagraph"/>
              <w:numPr>
                <w:ilvl w:val="0"/>
                <w:numId w:val="3"/>
              </w:numPr>
            </w:pPr>
            <w:r>
              <w:t>Immediately following the 24M data collection, process of transferring the activity to a new mechanism</w:t>
            </w:r>
            <w:r w:rsidR="00D9136B">
              <w:t xml:space="preserve"> would begin</w:t>
            </w:r>
            <w:r>
              <w:t>.</w:t>
            </w:r>
          </w:p>
        </w:tc>
      </w:tr>
      <w:tr w:rsidR="00EF3CD5" w14:paraId="6446E835" w14:textId="77777777" w:rsidTr="00EF3CD5">
        <w:tc>
          <w:tcPr>
            <w:tcW w:w="805" w:type="dxa"/>
            <w:vMerge w:val="restart"/>
            <w:vAlign w:val="center"/>
          </w:tcPr>
          <w:p w14:paraId="47846975" w14:textId="1E8E3498" w:rsidR="00EF3CD5" w:rsidRDefault="00EF3CD5" w:rsidP="00EF3CD5">
            <w:r>
              <w:t>2017</w:t>
            </w:r>
          </w:p>
        </w:tc>
        <w:tc>
          <w:tcPr>
            <w:tcW w:w="2430" w:type="dxa"/>
          </w:tcPr>
          <w:p w14:paraId="3DCE7BE1" w14:textId="6E77C1EB" w:rsidR="00EF3CD5" w:rsidRDefault="00584FBE" w:rsidP="00393B36">
            <w:r>
              <w:t xml:space="preserve">Mission </w:t>
            </w:r>
            <w:r w:rsidR="002B6FE1">
              <w:t xml:space="preserve">initiates request for </w:t>
            </w:r>
            <w:r w:rsidR="00EF3CD5">
              <w:t>durability monitoring in 1</w:t>
            </w:r>
            <w:r w:rsidR="00EF3CD5" w:rsidRPr="00393B36">
              <w:rPr>
                <w:vertAlign w:val="superscript"/>
              </w:rPr>
              <w:t>st</w:t>
            </w:r>
            <w:r w:rsidR="00EF3CD5">
              <w:t xml:space="preserve"> half of 2017</w:t>
            </w:r>
          </w:p>
        </w:tc>
        <w:tc>
          <w:tcPr>
            <w:tcW w:w="2070" w:type="dxa"/>
          </w:tcPr>
          <w:p w14:paraId="3573406E" w14:textId="77777777" w:rsidR="00EF3CD5" w:rsidRDefault="00EF3CD5" w:rsidP="00393B36">
            <w:r>
              <w:t>6M – July 2017</w:t>
            </w:r>
          </w:p>
          <w:p w14:paraId="217B7FB3" w14:textId="77777777" w:rsidR="00EF3CD5" w:rsidRDefault="00EF3CD5" w:rsidP="00393B36">
            <w:r>
              <w:t>12M Jan 2018</w:t>
            </w:r>
          </w:p>
          <w:p w14:paraId="19DEB14C" w14:textId="77777777" w:rsidR="00EF3CD5" w:rsidRDefault="00EF3CD5" w:rsidP="00393B36">
            <w:r>
              <w:t>24M Jan 2019</w:t>
            </w:r>
          </w:p>
          <w:p w14:paraId="0F447E17" w14:textId="77777777" w:rsidR="00EF3CD5" w:rsidRDefault="00EF3CD5" w:rsidP="00393B36">
            <w:r w:rsidRPr="00D6676D">
              <w:rPr>
                <w:color w:val="FF0000"/>
              </w:rPr>
              <w:t>36M Jan 2020</w:t>
            </w:r>
          </w:p>
        </w:tc>
        <w:tc>
          <w:tcPr>
            <w:tcW w:w="4045" w:type="dxa"/>
          </w:tcPr>
          <w:p w14:paraId="51A5E4CA" w14:textId="0D8D8E96" w:rsidR="00EF3CD5" w:rsidRDefault="00EF3CD5" w:rsidP="00393B36">
            <w:r>
              <w:t>Immediately following the 24M data collection, process of transferring the activity to a new mechanism would begin</w:t>
            </w:r>
            <w:r w:rsidR="001D5EF4">
              <w:t xml:space="preserve"> through USAID</w:t>
            </w:r>
            <w:r>
              <w:t>.</w:t>
            </w:r>
          </w:p>
        </w:tc>
      </w:tr>
      <w:tr w:rsidR="00EF3CD5" w14:paraId="545ADEFD" w14:textId="77777777" w:rsidTr="00EF3CD5">
        <w:tc>
          <w:tcPr>
            <w:tcW w:w="805" w:type="dxa"/>
            <w:vMerge/>
          </w:tcPr>
          <w:p w14:paraId="0F471665" w14:textId="77777777" w:rsidR="00EF3CD5" w:rsidRDefault="00EF3CD5" w:rsidP="00393B36"/>
        </w:tc>
        <w:tc>
          <w:tcPr>
            <w:tcW w:w="2430" w:type="dxa"/>
          </w:tcPr>
          <w:p w14:paraId="3532CBB4" w14:textId="45E4994A" w:rsidR="00EF3CD5" w:rsidRDefault="00584FBE" w:rsidP="00393B36">
            <w:r>
              <w:t xml:space="preserve">Mission </w:t>
            </w:r>
            <w:r w:rsidR="002B6FE1">
              <w:t>initiates request for</w:t>
            </w:r>
            <w:r w:rsidR="00EF3CD5">
              <w:t xml:space="preserve"> durability monitoring in 2</w:t>
            </w:r>
            <w:r w:rsidR="00EF3CD5" w:rsidRPr="00393B36">
              <w:rPr>
                <w:vertAlign w:val="superscript"/>
              </w:rPr>
              <w:t>nd</w:t>
            </w:r>
            <w:r w:rsidR="00EF3CD5">
              <w:t xml:space="preserve"> half of 2017</w:t>
            </w:r>
          </w:p>
        </w:tc>
        <w:tc>
          <w:tcPr>
            <w:tcW w:w="2070" w:type="dxa"/>
          </w:tcPr>
          <w:p w14:paraId="78BD75E7" w14:textId="77777777" w:rsidR="00EF3CD5" w:rsidRDefault="00EF3CD5" w:rsidP="00393B36">
            <w:r>
              <w:t>6M Jan 2018</w:t>
            </w:r>
          </w:p>
          <w:p w14:paraId="176123FE" w14:textId="77777777" w:rsidR="00EF3CD5" w:rsidRDefault="00EF3CD5" w:rsidP="00393B36">
            <w:r>
              <w:t>12M July 2018</w:t>
            </w:r>
          </w:p>
          <w:p w14:paraId="04AE9188" w14:textId="77777777" w:rsidR="00EF3CD5" w:rsidRPr="00B61D4D" w:rsidRDefault="00EF3CD5" w:rsidP="00393B36">
            <w:pPr>
              <w:rPr>
                <w:color w:val="FF0000"/>
              </w:rPr>
            </w:pPr>
            <w:r w:rsidRPr="00B61D4D">
              <w:rPr>
                <w:color w:val="FF0000"/>
              </w:rPr>
              <w:t>24M July 2019</w:t>
            </w:r>
          </w:p>
          <w:p w14:paraId="3811C21C" w14:textId="77777777" w:rsidR="00EF3CD5" w:rsidRDefault="00EF3CD5" w:rsidP="00393B36">
            <w:r w:rsidRPr="00D6676D">
              <w:rPr>
                <w:color w:val="FF0000"/>
              </w:rPr>
              <w:t>36M July 2020</w:t>
            </w:r>
          </w:p>
        </w:tc>
        <w:tc>
          <w:tcPr>
            <w:tcW w:w="4045" w:type="dxa"/>
          </w:tcPr>
          <w:p w14:paraId="1C506C63" w14:textId="6DD978C2" w:rsidR="00EF3CD5" w:rsidRDefault="00EF3CD5" w:rsidP="002B6FE1">
            <w:r>
              <w:t>Would recommend</w:t>
            </w:r>
            <w:r w:rsidR="001D5EF4">
              <w:t xml:space="preserve"> to USAID</w:t>
            </w:r>
            <w:r>
              <w:t xml:space="preserve"> initiating this activity entirely under a </w:t>
            </w:r>
            <w:r w:rsidR="002B6FE1">
              <w:t>different mechanism</w:t>
            </w:r>
            <w:r w:rsidR="00584FBE">
              <w:t>, unless significant TA is preferred from a starting Awardee</w:t>
            </w:r>
            <w:r>
              <w:t xml:space="preserve">.  </w:t>
            </w:r>
          </w:p>
        </w:tc>
      </w:tr>
    </w:tbl>
    <w:p w14:paraId="3D29859F" w14:textId="77777777" w:rsidR="00393B36" w:rsidRDefault="00393B36" w:rsidP="00393B36"/>
    <w:p w14:paraId="17795967" w14:textId="6C28B29F" w:rsidR="004E5F21" w:rsidRDefault="004E5F21" w:rsidP="004E5F21">
      <w:pPr>
        <w:pStyle w:val="Heading1"/>
      </w:pPr>
      <w:r>
        <w:t>Calendar of events</w:t>
      </w:r>
    </w:p>
    <w:p w14:paraId="53E55798" w14:textId="256791F8" w:rsidR="00127D31" w:rsidRDefault="0035092E" w:rsidP="00393B36">
      <w:r>
        <w:t>To further illustrate how the transfer of activities would happen over the course of 12 months, a sample sequence</w:t>
      </w:r>
      <w:r w:rsidR="00127D31">
        <w:t xml:space="preserve"> of steps</w:t>
      </w:r>
      <w:r>
        <w:t xml:space="preserve"> is described below,</w:t>
      </w:r>
      <w:r w:rsidR="00127D31">
        <w:t xml:space="preserve"> following final data collection</w:t>
      </w:r>
      <w:r w:rsidR="00B84561">
        <w:t xml:space="preserve"> by the starting Awardee</w:t>
      </w:r>
      <w:r>
        <w:t>.</w:t>
      </w:r>
    </w:p>
    <w:tbl>
      <w:tblPr>
        <w:tblStyle w:val="TableGrid"/>
        <w:tblW w:w="0" w:type="auto"/>
        <w:tblInd w:w="-5" w:type="dxa"/>
        <w:tblLook w:val="04A0" w:firstRow="1" w:lastRow="0" w:firstColumn="1" w:lastColumn="0" w:noHBand="0" w:noVBand="1"/>
      </w:tblPr>
      <w:tblGrid>
        <w:gridCol w:w="1440"/>
        <w:gridCol w:w="7915"/>
      </w:tblGrid>
      <w:tr w:rsidR="00127D31" w14:paraId="03196123" w14:textId="77777777" w:rsidTr="00B84561">
        <w:tc>
          <w:tcPr>
            <w:tcW w:w="1440" w:type="dxa"/>
          </w:tcPr>
          <w:p w14:paraId="37E86B96" w14:textId="4848EF68" w:rsidR="00127D31" w:rsidRDefault="00127D31" w:rsidP="00127D31">
            <w:r>
              <w:t>October</w:t>
            </w:r>
          </w:p>
        </w:tc>
        <w:tc>
          <w:tcPr>
            <w:tcW w:w="7915" w:type="dxa"/>
          </w:tcPr>
          <w:p w14:paraId="6A741A14" w14:textId="6FF77FC7" w:rsidR="00127D31" w:rsidRDefault="00127D31" w:rsidP="00127D31">
            <w:r>
              <w:t>Final data collection</w:t>
            </w:r>
            <w:r w:rsidR="00B84561">
              <w:t xml:space="preserve"> by starting Awardee</w:t>
            </w:r>
            <w:r>
              <w:t>. Mission begins to prepare funding switch through reprogramming mechanisms to a new partner. New partner is identified at this stage.</w:t>
            </w:r>
          </w:p>
        </w:tc>
      </w:tr>
      <w:tr w:rsidR="00127D31" w14:paraId="1D3DFDBF" w14:textId="77777777" w:rsidTr="00B84561">
        <w:tc>
          <w:tcPr>
            <w:tcW w:w="1440" w:type="dxa"/>
          </w:tcPr>
          <w:p w14:paraId="7FB03674" w14:textId="189274F6" w:rsidR="00127D31" w:rsidRDefault="00127D31" w:rsidP="00127D31">
            <w:r>
              <w:t>November</w:t>
            </w:r>
          </w:p>
        </w:tc>
        <w:tc>
          <w:tcPr>
            <w:tcW w:w="7915" w:type="dxa"/>
          </w:tcPr>
          <w:p w14:paraId="26260FEF" w14:textId="0D649EAF" w:rsidR="00127D31" w:rsidRDefault="00127D31" w:rsidP="00127D31">
            <w:r>
              <w:t xml:space="preserve">Immediately following final data collection, starting Awardee should complete analysis and reporting. </w:t>
            </w:r>
          </w:p>
        </w:tc>
      </w:tr>
      <w:tr w:rsidR="00127D31" w14:paraId="5DB1299E" w14:textId="77777777" w:rsidTr="00B84561">
        <w:tc>
          <w:tcPr>
            <w:tcW w:w="1440" w:type="dxa"/>
          </w:tcPr>
          <w:p w14:paraId="6E3C4B85" w14:textId="3C7C6052" w:rsidR="00127D31" w:rsidRDefault="00127D31" w:rsidP="00127D31">
            <w:r>
              <w:t>December</w:t>
            </w:r>
          </w:p>
        </w:tc>
        <w:tc>
          <w:tcPr>
            <w:tcW w:w="7915" w:type="dxa"/>
          </w:tcPr>
          <w:p w14:paraId="377CEE88" w14:textId="77777777" w:rsidR="00127D31" w:rsidRDefault="00127D31" w:rsidP="00127D31">
            <w:r>
              <w:t>Starting Awardee transfers all study files to the new partner</w:t>
            </w:r>
          </w:p>
          <w:p w14:paraId="6B20C61A" w14:textId="77777777" w:rsidR="00127D31" w:rsidRDefault="00127D31" w:rsidP="00127D31">
            <w:pPr>
              <w:pStyle w:val="ListParagraph"/>
              <w:numPr>
                <w:ilvl w:val="0"/>
                <w:numId w:val="5"/>
              </w:numPr>
            </w:pPr>
            <w:r>
              <w:t>Previous reports</w:t>
            </w:r>
          </w:p>
          <w:p w14:paraId="78FFD231" w14:textId="63869602" w:rsidR="00127D31" w:rsidRDefault="00127D31" w:rsidP="00127D31">
            <w:pPr>
              <w:pStyle w:val="ListParagraph"/>
              <w:numPr>
                <w:ilvl w:val="0"/>
                <w:numId w:val="5"/>
              </w:numPr>
            </w:pPr>
            <w:r>
              <w:t>Datasets</w:t>
            </w:r>
          </w:p>
          <w:p w14:paraId="2D30677E" w14:textId="77777777" w:rsidR="00127D31" w:rsidRDefault="00127D31" w:rsidP="00127D31">
            <w:pPr>
              <w:pStyle w:val="ListParagraph"/>
              <w:numPr>
                <w:ilvl w:val="0"/>
                <w:numId w:val="5"/>
              </w:numPr>
            </w:pPr>
            <w:r>
              <w:t>Do-files</w:t>
            </w:r>
          </w:p>
          <w:p w14:paraId="4D396DF3" w14:textId="77777777" w:rsidR="00127D31" w:rsidRDefault="00127D31" w:rsidP="00127D31">
            <w:pPr>
              <w:pStyle w:val="ListParagraph"/>
              <w:numPr>
                <w:ilvl w:val="0"/>
                <w:numId w:val="5"/>
              </w:numPr>
            </w:pPr>
            <w:r>
              <w:t>Latest round reports and do-files</w:t>
            </w:r>
          </w:p>
          <w:p w14:paraId="424A0ED2" w14:textId="77777777" w:rsidR="00127D31" w:rsidRDefault="00127D31" w:rsidP="00127D31">
            <w:pPr>
              <w:pStyle w:val="ListParagraph"/>
              <w:numPr>
                <w:ilvl w:val="0"/>
                <w:numId w:val="5"/>
              </w:numPr>
            </w:pPr>
            <w:r>
              <w:t>Study documentation</w:t>
            </w:r>
          </w:p>
          <w:p w14:paraId="0E533E7F" w14:textId="77777777" w:rsidR="00127D31" w:rsidRDefault="00127D31" w:rsidP="00127D31">
            <w:pPr>
              <w:pStyle w:val="ListParagraph"/>
              <w:numPr>
                <w:ilvl w:val="0"/>
                <w:numId w:val="5"/>
              </w:numPr>
            </w:pPr>
            <w:r>
              <w:t>ITN samples</w:t>
            </w:r>
          </w:p>
          <w:p w14:paraId="1A2A23EE" w14:textId="5CB7915E" w:rsidR="00127D31" w:rsidRDefault="00127D31" w:rsidP="00127D31">
            <w:pPr>
              <w:pStyle w:val="ListParagraph"/>
              <w:numPr>
                <w:ilvl w:val="0"/>
                <w:numId w:val="5"/>
              </w:numPr>
            </w:pPr>
            <w:r>
              <w:t xml:space="preserve">SOW documents for any </w:t>
            </w:r>
            <w:proofErr w:type="spellStart"/>
            <w:r>
              <w:t>subpartners</w:t>
            </w:r>
            <w:proofErr w:type="spellEnd"/>
            <w:r>
              <w:t xml:space="preserve"> (e.g. labs doing bioassays)</w:t>
            </w:r>
          </w:p>
        </w:tc>
      </w:tr>
      <w:tr w:rsidR="00127D31" w14:paraId="13149C54" w14:textId="77777777" w:rsidTr="00B84561">
        <w:tc>
          <w:tcPr>
            <w:tcW w:w="1440" w:type="dxa"/>
          </w:tcPr>
          <w:p w14:paraId="7096692A" w14:textId="77D0E2FB" w:rsidR="00127D31" w:rsidRDefault="00127D31" w:rsidP="00127D31">
            <w:r>
              <w:t>January-March</w:t>
            </w:r>
          </w:p>
        </w:tc>
        <w:tc>
          <w:tcPr>
            <w:tcW w:w="7915" w:type="dxa"/>
          </w:tcPr>
          <w:p w14:paraId="554D5722" w14:textId="7BD34A65" w:rsidR="00127D31" w:rsidRDefault="00127D31" w:rsidP="00127D31">
            <w:r>
              <w:t xml:space="preserve">Mission advances the reprogramming process and new Awardee begins drafting a </w:t>
            </w:r>
            <w:proofErr w:type="spellStart"/>
            <w:r>
              <w:t>workplan</w:t>
            </w:r>
            <w:proofErr w:type="spellEnd"/>
            <w:r>
              <w:t xml:space="preserve"> and budget. Starting awardee can provide insights as needed. New awardee initiates any necessary IRB approvals or updates. New awardee initiates </w:t>
            </w:r>
            <w:proofErr w:type="spellStart"/>
            <w:r>
              <w:t>subaward</w:t>
            </w:r>
            <w:proofErr w:type="spellEnd"/>
            <w:r>
              <w:t>/subcontract process with any necessary partners.</w:t>
            </w:r>
          </w:p>
        </w:tc>
      </w:tr>
      <w:tr w:rsidR="00127D31" w14:paraId="097C8E85" w14:textId="77777777" w:rsidTr="00B84561">
        <w:tc>
          <w:tcPr>
            <w:tcW w:w="1440" w:type="dxa"/>
          </w:tcPr>
          <w:p w14:paraId="18BE085A" w14:textId="23A0A794" w:rsidR="00127D31" w:rsidRDefault="00127D31" w:rsidP="00127D31">
            <w:r>
              <w:lastRenderedPageBreak/>
              <w:t>April-June</w:t>
            </w:r>
          </w:p>
        </w:tc>
        <w:tc>
          <w:tcPr>
            <w:tcW w:w="7915" w:type="dxa"/>
          </w:tcPr>
          <w:p w14:paraId="4D532343" w14:textId="02A0B6A9" w:rsidR="00127D31" w:rsidRDefault="00B84561" w:rsidP="00127D31">
            <w:r>
              <w:t xml:space="preserve">Obligations and </w:t>
            </w:r>
            <w:proofErr w:type="spellStart"/>
            <w:r>
              <w:t>workplan</w:t>
            </w:r>
            <w:proofErr w:type="spellEnd"/>
            <w:r>
              <w:t xml:space="preserve"> approvals and </w:t>
            </w:r>
            <w:proofErr w:type="spellStart"/>
            <w:r>
              <w:t>subaward</w:t>
            </w:r>
            <w:proofErr w:type="spellEnd"/>
            <w:r>
              <w:t>/subcontract approvals are finalized by Mission and new Awardee. New awardee hires any additional staff that may be needed.</w:t>
            </w:r>
          </w:p>
        </w:tc>
      </w:tr>
      <w:tr w:rsidR="00127D31" w14:paraId="4061413B" w14:textId="77777777" w:rsidTr="00B84561">
        <w:tc>
          <w:tcPr>
            <w:tcW w:w="1440" w:type="dxa"/>
          </w:tcPr>
          <w:p w14:paraId="0A743B3E" w14:textId="65499DEC" w:rsidR="00127D31" w:rsidRDefault="00127D31" w:rsidP="00127D31">
            <w:r>
              <w:t>July-September</w:t>
            </w:r>
          </w:p>
        </w:tc>
        <w:tc>
          <w:tcPr>
            <w:tcW w:w="7915" w:type="dxa"/>
          </w:tcPr>
          <w:p w14:paraId="28117279" w14:textId="25E185C6" w:rsidR="00127D31" w:rsidRDefault="00B84561" w:rsidP="00B84561">
            <w:r>
              <w:t>New Awardee begins planning process for next round of data collection; label preparation, fieldworker selection, familiarity with fieldwork and analysis tools and resources.</w:t>
            </w:r>
          </w:p>
        </w:tc>
      </w:tr>
      <w:tr w:rsidR="00127D31" w14:paraId="5D46B5B5" w14:textId="77777777" w:rsidTr="00B84561">
        <w:tc>
          <w:tcPr>
            <w:tcW w:w="1440" w:type="dxa"/>
          </w:tcPr>
          <w:p w14:paraId="6E1053E4" w14:textId="1DA8CE1A" w:rsidR="00127D31" w:rsidRDefault="00B84561" w:rsidP="00127D31">
            <w:r>
              <w:t>October</w:t>
            </w:r>
          </w:p>
        </w:tc>
        <w:tc>
          <w:tcPr>
            <w:tcW w:w="7915" w:type="dxa"/>
          </w:tcPr>
          <w:p w14:paraId="036F3B68" w14:textId="04EDE850" w:rsidR="00127D31" w:rsidRDefault="00B84561" w:rsidP="00127D31">
            <w:r>
              <w:t>New Awardee conducts data collection</w:t>
            </w:r>
          </w:p>
        </w:tc>
      </w:tr>
    </w:tbl>
    <w:p w14:paraId="438D5B3C" w14:textId="23058949" w:rsidR="00534BBB" w:rsidRDefault="00534BBB" w:rsidP="00127D31">
      <w:pPr>
        <w:pStyle w:val="ListParagraph"/>
      </w:pPr>
    </w:p>
    <w:p w14:paraId="1DAF7DC3" w14:textId="77777777" w:rsidR="00534BBB" w:rsidRPr="00534BBB" w:rsidRDefault="00534BBB" w:rsidP="00534BBB"/>
    <w:p w14:paraId="579B25FD" w14:textId="77777777" w:rsidR="00534BBB" w:rsidRPr="00534BBB" w:rsidRDefault="00534BBB" w:rsidP="00534BBB"/>
    <w:p w14:paraId="73DB795A" w14:textId="77777777" w:rsidR="00534BBB" w:rsidRPr="00534BBB" w:rsidRDefault="00534BBB" w:rsidP="00534BBB"/>
    <w:p w14:paraId="24B0066A" w14:textId="77777777" w:rsidR="00534BBB" w:rsidRPr="00534BBB" w:rsidRDefault="00534BBB" w:rsidP="00534BBB"/>
    <w:p w14:paraId="7016038D" w14:textId="77777777" w:rsidR="00534BBB" w:rsidRPr="00534BBB" w:rsidRDefault="00534BBB" w:rsidP="00534BBB"/>
    <w:p w14:paraId="04B4ED1C" w14:textId="77777777" w:rsidR="00534BBB" w:rsidRPr="00534BBB" w:rsidRDefault="00534BBB" w:rsidP="00534BBB"/>
    <w:p w14:paraId="0D13F809" w14:textId="77777777" w:rsidR="00534BBB" w:rsidRPr="00534BBB" w:rsidRDefault="00534BBB" w:rsidP="00534BBB"/>
    <w:p w14:paraId="126F46EE" w14:textId="77777777" w:rsidR="00534BBB" w:rsidRPr="00534BBB" w:rsidRDefault="00534BBB" w:rsidP="00534BBB"/>
    <w:p w14:paraId="03602A94" w14:textId="77777777" w:rsidR="00534BBB" w:rsidRPr="00534BBB" w:rsidRDefault="00534BBB" w:rsidP="00534BBB"/>
    <w:p w14:paraId="21122308" w14:textId="77777777" w:rsidR="00534BBB" w:rsidRPr="00534BBB" w:rsidRDefault="00534BBB" w:rsidP="00534BBB"/>
    <w:p w14:paraId="7A998527" w14:textId="77777777" w:rsidR="00534BBB" w:rsidRPr="00534BBB" w:rsidRDefault="00534BBB" w:rsidP="00534BBB"/>
    <w:p w14:paraId="12A6C8B6" w14:textId="77777777" w:rsidR="00534BBB" w:rsidRPr="00534BBB" w:rsidRDefault="00534BBB" w:rsidP="00534BBB"/>
    <w:p w14:paraId="67E382C0" w14:textId="77777777" w:rsidR="00534BBB" w:rsidRPr="00534BBB" w:rsidRDefault="00534BBB" w:rsidP="00534BBB"/>
    <w:p w14:paraId="2DFB8194" w14:textId="77777777" w:rsidR="00534BBB" w:rsidRPr="00534BBB" w:rsidRDefault="00534BBB" w:rsidP="00534BBB"/>
    <w:p w14:paraId="31E1DCE1" w14:textId="77777777" w:rsidR="00534BBB" w:rsidRPr="00534BBB" w:rsidRDefault="00534BBB" w:rsidP="00534BBB"/>
    <w:p w14:paraId="6EF14F7E" w14:textId="77777777" w:rsidR="00534BBB" w:rsidRPr="00534BBB" w:rsidRDefault="00534BBB" w:rsidP="00534BBB"/>
    <w:p w14:paraId="61AFB254" w14:textId="77777777" w:rsidR="00534BBB" w:rsidRPr="00534BBB" w:rsidRDefault="00534BBB" w:rsidP="00534BBB"/>
    <w:p w14:paraId="746B632A" w14:textId="77777777" w:rsidR="00534BBB" w:rsidRPr="00534BBB" w:rsidRDefault="00534BBB" w:rsidP="00534BBB"/>
    <w:p w14:paraId="587CFF23" w14:textId="77777777" w:rsidR="00534BBB" w:rsidRPr="00534BBB" w:rsidRDefault="00534BBB" w:rsidP="00534BBB"/>
    <w:p w14:paraId="26706939" w14:textId="4E54CA77" w:rsidR="00534BBB" w:rsidRDefault="00534BBB" w:rsidP="00534BBB"/>
    <w:p w14:paraId="25E80E86" w14:textId="5281F59B" w:rsidR="00127D31" w:rsidRPr="00534BBB" w:rsidRDefault="00534BBB" w:rsidP="00534BBB">
      <w:pPr>
        <w:tabs>
          <w:tab w:val="left" w:pos="3368"/>
        </w:tabs>
      </w:pPr>
      <w:r>
        <w:tab/>
      </w:r>
    </w:p>
    <w:sectPr w:rsidR="00127D31" w:rsidRPr="00534BB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80506" w14:textId="77777777" w:rsidR="00EA73F5" w:rsidRDefault="00EA73F5" w:rsidP="004E5F21">
      <w:pPr>
        <w:spacing w:after="0" w:line="240" w:lineRule="auto"/>
      </w:pPr>
      <w:r>
        <w:separator/>
      </w:r>
    </w:p>
  </w:endnote>
  <w:endnote w:type="continuationSeparator" w:id="0">
    <w:p w14:paraId="5F34BDF8" w14:textId="77777777" w:rsidR="00EA73F5" w:rsidRDefault="00EA73F5" w:rsidP="004E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590340"/>
      <w:docPartObj>
        <w:docPartGallery w:val="Page Numbers (Bottom of Page)"/>
        <w:docPartUnique/>
      </w:docPartObj>
    </w:sdtPr>
    <w:sdtEndPr>
      <w:rPr>
        <w:noProof/>
      </w:rPr>
    </w:sdtEndPr>
    <w:sdtContent>
      <w:p w14:paraId="07AB44CD" w14:textId="1F713459" w:rsidR="00534BBB" w:rsidRDefault="00534BBB">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6292A93" w14:textId="77777777" w:rsidR="00534BBB" w:rsidRDefault="00534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EE25B" w14:textId="77777777" w:rsidR="00EA73F5" w:rsidRDefault="00EA73F5" w:rsidP="004E5F21">
      <w:pPr>
        <w:spacing w:after="0" w:line="240" w:lineRule="auto"/>
      </w:pPr>
      <w:r>
        <w:separator/>
      </w:r>
    </w:p>
  </w:footnote>
  <w:footnote w:type="continuationSeparator" w:id="0">
    <w:p w14:paraId="3F67AE65" w14:textId="77777777" w:rsidR="00EA73F5" w:rsidRDefault="00EA73F5" w:rsidP="004E5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FC7F7" w14:textId="39911BF3" w:rsidR="004E5F21" w:rsidRDefault="004E5F21">
    <w:pPr>
      <w:pStyle w:val="Footer"/>
    </w:pPr>
    <w:r>
      <w:t>July 26,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A2FE8"/>
    <w:multiLevelType w:val="hybridMultilevel"/>
    <w:tmpl w:val="AB3E1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B54A7"/>
    <w:multiLevelType w:val="hybridMultilevel"/>
    <w:tmpl w:val="D5164176"/>
    <w:lvl w:ilvl="0" w:tplc="209A3C3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B3DCE"/>
    <w:multiLevelType w:val="hybridMultilevel"/>
    <w:tmpl w:val="5E5C7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5A1E9A"/>
    <w:multiLevelType w:val="hybridMultilevel"/>
    <w:tmpl w:val="4D16C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3719FC"/>
    <w:multiLevelType w:val="hybridMultilevel"/>
    <w:tmpl w:val="84A8A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3B"/>
    <w:rsid w:val="000B277A"/>
    <w:rsid w:val="000B3910"/>
    <w:rsid w:val="00127D31"/>
    <w:rsid w:val="001D5EF4"/>
    <w:rsid w:val="00292617"/>
    <w:rsid w:val="002B6FE1"/>
    <w:rsid w:val="002E70FB"/>
    <w:rsid w:val="00322AC2"/>
    <w:rsid w:val="0035092E"/>
    <w:rsid w:val="00393B36"/>
    <w:rsid w:val="003B30E6"/>
    <w:rsid w:val="00403500"/>
    <w:rsid w:val="00412822"/>
    <w:rsid w:val="00422FA9"/>
    <w:rsid w:val="004265B0"/>
    <w:rsid w:val="004C1685"/>
    <w:rsid w:val="004E5F21"/>
    <w:rsid w:val="00526736"/>
    <w:rsid w:val="00534BBB"/>
    <w:rsid w:val="0055294F"/>
    <w:rsid w:val="00584FBE"/>
    <w:rsid w:val="005D2A47"/>
    <w:rsid w:val="005F23F7"/>
    <w:rsid w:val="00645171"/>
    <w:rsid w:val="006D0151"/>
    <w:rsid w:val="006E3A67"/>
    <w:rsid w:val="008862D9"/>
    <w:rsid w:val="009352B5"/>
    <w:rsid w:val="009C0A43"/>
    <w:rsid w:val="00A12565"/>
    <w:rsid w:val="00AC7A85"/>
    <w:rsid w:val="00B61D4D"/>
    <w:rsid w:val="00B84561"/>
    <w:rsid w:val="00B92B14"/>
    <w:rsid w:val="00B947BC"/>
    <w:rsid w:val="00BE7436"/>
    <w:rsid w:val="00CF16D2"/>
    <w:rsid w:val="00D032EC"/>
    <w:rsid w:val="00D041EC"/>
    <w:rsid w:val="00D31D88"/>
    <w:rsid w:val="00D6676D"/>
    <w:rsid w:val="00D9136B"/>
    <w:rsid w:val="00DB20C8"/>
    <w:rsid w:val="00DB3901"/>
    <w:rsid w:val="00DE3729"/>
    <w:rsid w:val="00DF593B"/>
    <w:rsid w:val="00E572BA"/>
    <w:rsid w:val="00EA73F5"/>
    <w:rsid w:val="00EC2219"/>
    <w:rsid w:val="00EF3CD5"/>
    <w:rsid w:val="00EF6F8F"/>
    <w:rsid w:val="00F9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DC1B"/>
  <w15:chartTrackingRefBased/>
  <w15:docId w15:val="{4A857C66-C038-4F01-AC3D-F9D19EE7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5F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0B391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B3910"/>
    <w:rPr>
      <w:rFonts w:ascii="Times New Roman" w:hAnsi="Times New Roman" w:cs="Times New Roman"/>
      <w:sz w:val="24"/>
      <w:szCs w:val="24"/>
    </w:rPr>
  </w:style>
  <w:style w:type="paragraph" w:styleId="Caption">
    <w:name w:val="caption"/>
    <w:basedOn w:val="Normal"/>
    <w:next w:val="Normal"/>
    <w:uiPriority w:val="35"/>
    <w:unhideWhenUsed/>
    <w:qFormat/>
    <w:rsid w:val="006E3A67"/>
    <w:pPr>
      <w:spacing w:after="200" w:line="240" w:lineRule="auto"/>
    </w:pPr>
    <w:rPr>
      <w:i/>
      <w:iCs/>
      <w:color w:val="44546A" w:themeColor="text2"/>
      <w:sz w:val="18"/>
      <w:szCs w:val="18"/>
    </w:rPr>
  </w:style>
  <w:style w:type="paragraph" w:styleId="ListParagraph">
    <w:name w:val="List Paragraph"/>
    <w:basedOn w:val="Normal"/>
    <w:uiPriority w:val="34"/>
    <w:qFormat/>
    <w:rsid w:val="006E3A67"/>
    <w:pPr>
      <w:ind w:left="720"/>
      <w:contextualSpacing/>
    </w:pPr>
  </w:style>
  <w:style w:type="paragraph" w:styleId="BalloonText">
    <w:name w:val="Balloon Text"/>
    <w:basedOn w:val="Normal"/>
    <w:link w:val="BalloonTextChar"/>
    <w:uiPriority w:val="99"/>
    <w:semiHidden/>
    <w:unhideWhenUsed/>
    <w:rsid w:val="00D04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1EC"/>
    <w:rPr>
      <w:rFonts w:ascii="Segoe UI" w:hAnsi="Segoe UI" w:cs="Segoe UI"/>
      <w:sz w:val="18"/>
      <w:szCs w:val="18"/>
    </w:rPr>
  </w:style>
  <w:style w:type="character" w:styleId="CommentReference">
    <w:name w:val="annotation reference"/>
    <w:basedOn w:val="DefaultParagraphFont"/>
    <w:uiPriority w:val="99"/>
    <w:semiHidden/>
    <w:unhideWhenUsed/>
    <w:rsid w:val="00D041EC"/>
    <w:rPr>
      <w:sz w:val="16"/>
      <w:szCs w:val="16"/>
    </w:rPr>
  </w:style>
  <w:style w:type="paragraph" w:styleId="CommentText">
    <w:name w:val="annotation text"/>
    <w:basedOn w:val="Normal"/>
    <w:link w:val="CommentTextChar"/>
    <w:uiPriority w:val="99"/>
    <w:semiHidden/>
    <w:unhideWhenUsed/>
    <w:rsid w:val="00D041EC"/>
    <w:pPr>
      <w:spacing w:line="240" w:lineRule="auto"/>
    </w:pPr>
    <w:rPr>
      <w:sz w:val="20"/>
      <w:szCs w:val="20"/>
    </w:rPr>
  </w:style>
  <w:style w:type="character" w:customStyle="1" w:styleId="CommentTextChar">
    <w:name w:val="Comment Text Char"/>
    <w:basedOn w:val="DefaultParagraphFont"/>
    <w:link w:val="CommentText"/>
    <w:uiPriority w:val="99"/>
    <w:semiHidden/>
    <w:rsid w:val="00D041EC"/>
    <w:rPr>
      <w:sz w:val="20"/>
      <w:szCs w:val="20"/>
    </w:rPr>
  </w:style>
  <w:style w:type="paragraph" w:styleId="CommentSubject">
    <w:name w:val="annotation subject"/>
    <w:basedOn w:val="CommentText"/>
    <w:next w:val="CommentText"/>
    <w:link w:val="CommentSubjectChar"/>
    <w:uiPriority w:val="99"/>
    <w:semiHidden/>
    <w:unhideWhenUsed/>
    <w:rsid w:val="00D041EC"/>
    <w:rPr>
      <w:b/>
      <w:bCs/>
    </w:rPr>
  </w:style>
  <w:style w:type="character" w:customStyle="1" w:styleId="CommentSubjectChar">
    <w:name w:val="Comment Subject Char"/>
    <w:basedOn w:val="CommentTextChar"/>
    <w:link w:val="CommentSubject"/>
    <w:uiPriority w:val="99"/>
    <w:semiHidden/>
    <w:rsid w:val="00D041EC"/>
    <w:rPr>
      <w:b/>
      <w:bCs/>
      <w:sz w:val="20"/>
      <w:szCs w:val="20"/>
    </w:rPr>
  </w:style>
  <w:style w:type="paragraph" w:styleId="Title">
    <w:name w:val="Title"/>
    <w:basedOn w:val="Normal"/>
    <w:next w:val="Normal"/>
    <w:link w:val="TitleChar"/>
    <w:uiPriority w:val="10"/>
    <w:qFormat/>
    <w:rsid w:val="004C1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68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E5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F21"/>
  </w:style>
  <w:style w:type="paragraph" w:styleId="Footer">
    <w:name w:val="footer"/>
    <w:basedOn w:val="Normal"/>
    <w:link w:val="FooterChar"/>
    <w:uiPriority w:val="99"/>
    <w:unhideWhenUsed/>
    <w:rsid w:val="004E5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F21"/>
  </w:style>
  <w:style w:type="character" w:customStyle="1" w:styleId="Heading1Char">
    <w:name w:val="Heading 1 Char"/>
    <w:basedOn w:val="DefaultParagraphFont"/>
    <w:link w:val="Heading1"/>
    <w:uiPriority w:val="9"/>
    <w:rsid w:val="004E5F2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2DD06-982B-4089-8597-00390ED3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Koenker, Hannah</dc:creator>
  <cp:keywords/>
  <dc:description/>
  <cp:lastModifiedBy>Koenker, Hannah</cp:lastModifiedBy>
  <cp:revision>12</cp:revision>
  <cp:lastPrinted>2016-05-05T16:15:00Z</cp:lastPrinted>
  <dcterms:created xsi:type="dcterms:W3CDTF">2016-07-26T22:21:00Z</dcterms:created>
  <dcterms:modified xsi:type="dcterms:W3CDTF">2017-10-24T19:26:00Z</dcterms:modified>
</cp:coreProperties>
</file>