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F58B8" w14:textId="0418349E" w:rsidR="00140694" w:rsidRDefault="00706AD7" w:rsidP="00706AD7">
      <w:pPr>
        <w:pStyle w:val="Title"/>
      </w:pPr>
      <w:r>
        <w:t>Kit de la PMI pour la surveillance de la durabilité des moustiquaires imprégnées d’insecticide à longue durée d’action (MILD)</w:t>
      </w:r>
    </w:p>
    <w:p w14:paraId="349B5805" w14:textId="75D27A75" w:rsidR="00706AD7" w:rsidRPr="00596526" w:rsidRDefault="00A608EA" w:rsidP="00706AD7">
      <w:pPr>
        <w:pStyle w:val="Heading1"/>
      </w:pPr>
      <w:r>
        <w:t>Contexte</w:t>
      </w:r>
    </w:p>
    <w:p w14:paraId="468C951A" w14:textId="31D986EF" w:rsidR="00706AD7" w:rsidRDefault="00706AD7" w:rsidP="00706AD7">
      <w:r>
        <w:t xml:space="preserve">Les données concernant la durabilité des moustiquaires imprégnées d’insecticide à longue durée d’action (MILD) sur le terrain sont cruciales pour comprendre la durée de vie utile de ces moustiquaires (durée de vie physique et de l’insecticide), en plus d’identifier les causes de leurs éventuelles défaillances. À cette fin, la PMI s’engage à augmenter le suivi de la durabilité des MILD dans tous les pays dont elle s’occupe. </w:t>
      </w:r>
    </w:p>
    <w:p w14:paraId="1A40E5C2" w14:textId="270169C8" w:rsidR="00706AD7" w:rsidRPr="00706AD7" w:rsidRDefault="00706AD7" w:rsidP="00706AD7">
      <w:r>
        <w:t xml:space="preserve">La PMI a récemment émis des recommandations générales à l’attention de tous ses pays afin qu’ils commencent à appuyer cette surveillance de la durabilité des MILD. Cette activité n’est pas obligatoire, mais recommandée. Dans son « Guide technique pour la surveillance systématique de la durabilité », la PMI recommande de mettre en place des études prospectives portant sur les MILD distribuées dans le cadre des campagnes massives. Ces activités s’inscrivent donc dans un calendrier précis, lié aux campagnes déployées dans chaque pays. Des exceptions seront envisageables : les pays pourront appuyer des études de surveillance rétrospectives, à condition de soumettre préalablement ces projets à la direction de la PMI. </w:t>
      </w:r>
    </w:p>
    <w:p w14:paraId="46BAF8C0" w14:textId="6886F1B9" w:rsidR="00706AD7" w:rsidRPr="00706AD7" w:rsidRDefault="00A608EA" w:rsidP="00706AD7">
      <w:pPr>
        <w:pStyle w:val="Heading1"/>
      </w:pPr>
      <w:r>
        <w:t>Objectif</w:t>
      </w:r>
    </w:p>
    <w:p w14:paraId="0DE5BD36" w14:textId="74DA7D71" w:rsidR="00706AD7" w:rsidRDefault="00706AD7" w:rsidP="00706AD7">
      <w:r>
        <w:t>La PMI souhaite mettre en œuvre ses recommandations en matière de surveillance de la durabilité des MILD (« Guide technique pour la surveillance systématique de la durabilité ») de manière à ce que plusieurs partenaires, à des périodes différentes, puissent recueillir et rapporter les données de durabilité selon une méthode standardisée et systématique. Ainsi, ces informations pourront ensuite être analysées à un niveau supplémentaire, englobant plusieurs pays. Grâce à ce processus, la PMI pourra potentiellement identifier et comprendre les tendances d’efficacité au fil du temps. Cette démarche implique de recueillir des données comparables et de haute qualité selon des méthodologies de collecte et d’analyse standardisées entre tous les pays.</w:t>
      </w:r>
    </w:p>
    <w:p w14:paraId="419883D4" w14:textId="0529DCBA" w:rsidR="00706AD7" w:rsidRDefault="00A608EA" w:rsidP="00706AD7">
      <w:pPr>
        <w:pStyle w:val="Heading1"/>
      </w:pPr>
      <w:r>
        <w:t>Contenu du kit</w:t>
      </w:r>
    </w:p>
    <w:p w14:paraId="1306333C" w14:textId="77777777" w:rsidR="00706AD7" w:rsidRDefault="00706AD7" w:rsidP="00706AD7">
      <w:r>
        <w:t xml:space="preserve">Ce kit se compose de deux parties. La partie 1 comprend des supports et outils concernant la conception et la mise en œuvre de l’étude, ainsi que le recueil des données, jusqu’à l’étape de la saisie des données. </w:t>
      </w:r>
      <w:r>
        <w:lastRenderedPageBreak/>
        <w:t xml:space="preserve">Quant à la partie 2, elle comprend des supports et outils pour le nettoyage, la préparation, l’analyse et l’interprétation des données, y compris le </w:t>
      </w:r>
      <w:proofErr w:type="spellStart"/>
      <w:r>
        <w:t>reporting</w:t>
      </w:r>
      <w:proofErr w:type="spellEnd"/>
      <w:r>
        <w:t xml:space="preserve">. </w:t>
      </w:r>
    </w:p>
    <w:p w14:paraId="3D3C0AA6" w14:textId="3813F3FF" w:rsidR="00706AD7" w:rsidRDefault="00706AD7" w:rsidP="00BD4DCC">
      <w:pPr>
        <w:pStyle w:val="Heading2"/>
      </w:pPr>
      <w:r>
        <w:t>Partie 1 : introduction et recueil des données</w:t>
      </w:r>
    </w:p>
    <w:p w14:paraId="437169EE" w14:textId="77777777" w:rsidR="00F74B65" w:rsidRPr="000A392A" w:rsidRDefault="00B73711" w:rsidP="00F74B65">
      <w:pPr>
        <w:pStyle w:val="NoSpacing"/>
        <w:numPr>
          <w:ilvl w:val="0"/>
          <w:numId w:val="5"/>
        </w:numPr>
        <w:rPr>
          <w:rFonts w:cs="Times New Roman"/>
        </w:rPr>
      </w:pPr>
      <w:r>
        <w:t>Introduction et méthodes</w:t>
      </w:r>
    </w:p>
    <w:p w14:paraId="26A586FA" w14:textId="491CC501" w:rsidR="000A392A" w:rsidRDefault="000A392A" w:rsidP="00B73711">
      <w:pPr>
        <w:pStyle w:val="NoSpacing"/>
        <w:numPr>
          <w:ilvl w:val="1"/>
          <w:numId w:val="5"/>
        </w:numPr>
        <w:rPr>
          <w:rFonts w:cs="Times New Roman"/>
        </w:rPr>
      </w:pPr>
      <w:r>
        <w:t>Contenu du kit de la PMI pour la surveillance de la durabilité (ce fichier)</w:t>
      </w:r>
    </w:p>
    <w:p w14:paraId="70F9B151" w14:textId="7ACDC412" w:rsidR="00B73711" w:rsidRDefault="00B73711" w:rsidP="00B73711">
      <w:pPr>
        <w:pStyle w:val="NoSpacing"/>
        <w:numPr>
          <w:ilvl w:val="1"/>
          <w:numId w:val="5"/>
        </w:numPr>
        <w:rPr>
          <w:rFonts w:cs="Times New Roman"/>
        </w:rPr>
      </w:pPr>
      <w:r>
        <w:t>Directives de la PMI pour la surveillance de la durabilité</w:t>
      </w:r>
    </w:p>
    <w:p w14:paraId="361452CF" w14:textId="0044AA99" w:rsidR="00B73711" w:rsidRDefault="00C25F2C" w:rsidP="00B73711">
      <w:pPr>
        <w:pStyle w:val="NoSpacing"/>
        <w:numPr>
          <w:ilvl w:val="1"/>
          <w:numId w:val="5"/>
        </w:numPr>
        <w:rPr>
          <w:rFonts w:cs="Times New Roman"/>
        </w:rPr>
      </w:pPr>
      <w:r>
        <w:t>Surveillance de la durabilité : contexte et questions-réponses</w:t>
      </w:r>
    </w:p>
    <w:p w14:paraId="641D6629" w14:textId="7C43D4CD" w:rsidR="00A53E80" w:rsidRDefault="00A53E80" w:rsidP="00A53E80">
      <w:pPr>
        <w:pStyle w:val="NoSpacing"/>
        <w:numPr>
          <w:ilvl w:val="1"/>
          <w:numId w:val="5"/>
        </w:numPr>
        <w:rPr>
          <w:rFonts w:cs="Times New Roman"/>
        </w:rPr>
      </w:pPr>
      <w:r>
        <w:t>Modèle et remarques budgétaires</w:t>
      </w:r>
    </w:p>
    <w:p w14:paraId="305F2958" w14:textId="4DC1DF5F" w:rsidR="00A53E80" w:rsidRPr="00773E18" w:rsidRDefault="00A53E80" w:rsidP="00A53E80">
      <w:pPr>
        <w:pStyle w:val="NoSpacing"/>
        <w:numPr>
          <w:ilvl w:val="1"/>
          <w:numId w:val="5"/>
        </w:numPr>
        <w:rPr>
          <w:rFonts w:cs="Times New Roman"/>
        </w:rPr>
      </w:pPr>
      <w:r>
        <w:t>Calendrier de surveillance de la durabilité</w:t>
      </w:r>
    </w:p>
    <w:p w14:paraId="449E4C5B" w14:textId="51BB7512" w:rsidR="00773E18" w:rsidRDefault="00773E18" w:rsidP="00A53E80">
      <w:pPr>
        <w:pStyle w:val="NoSpacing"/>
        <w:numPr>
          <w:ilvl w:val="1"/>
          <w:numId w:val="5"/>
        </w:numPr>
        <w:rPr>
          <w:rFonts w:cs="Times New Roman"/>
        </w:rPr>
      </w:pPr>
      <w:r>
        <w:t>Manuel de mise en œuvre de la durabilité</w:t>
      </w:r>
    </w:p>
    <w:p w14:paraId="44B995B5" w14:textId="77777777" w:rsidR="00B73711" w:rsidRPr="000A392A" w:rsidRDefault="00B73711" w:rsidP="00B73711">
      <w:pPr>
        <w:pStyle w:val="NoSpacing"/>
        <w:numPr>
          <w:ilvl w:val="0"/>
          <w:numId w:val="5"/>
        </w:numPr>
        <w:rPr>
          <w:rFonts w:cs="Times New Roman"/>
        </w:rPr>
      </w:pPr>
      <w:r>
        <w:t>Instruments de recueil des données</w:t>
      </w:r>
    </w:p>
    <w:p w14:paraId="1EB117AC" w14:textId="3CA1B381" w:rsidR="00B73711" w:rsidRPr="00540B72" w:rsidRDefault="00540B72" w:rsidP="00B73711">
      <w:pPr>
        <w:pStyle w:val="NoSpacing"/>
        <w:numPr>
          <w:ilvl w:val="1"/>
          <w:numId w:val="5"/>
        </w:numPr>
        <w:rPr>
          <w:rFonts w:cs="Times New Roman"/>
        </w:rPr>
      </w:pPr>
      <w:r>
        <w:t>Modèle de protocole de surveillance de la durabilité</w:t>
      </w:r>
    </w:p>
    <w:p w14:paraId="0AE5EFF0" w14:textId="0DB4D443" w:rsidR="00B73711" w:rsidRPr="008918BA" w:rsidRDefault="008918BA" w:rsidP="00B73711">
      <w:pPr>
        <w:pStyle w:val="NoSpacing"/>
        <w:numPr>
          <w:ilvl w:val="1"/>
          <w:numId w:val="5"/>
        </w:numPr>
        <w:rPr>
          <w:rFonts w:cs="Times New Roman"/>
        </w:rPr>
      </w:pPr>
      <w:r>
        <w:t>Enquête : questionnaires</w:t>
      </w:r>
    </w:p>
    <w:p w14:paraId="1EF08F44" w14:textId="651B27BD" w:rsidR="008918BA" w:rsidRPr="008918BA" w:rsidRDefault="008918BA" w:rsidP="008918BA">
      <w:pPr>
        <w:pStyle w:val="NoSpacing"/>
        <w:numPr>
          <w:ilvl w:val="2"/>
          <w:numId w:val="5"/>
        </w:numPr>
        <w:rPr>
          <w:rFonts w:cs="Times New Roman"/>
        </w:rPr>
      </w:pPr>
      <w:r>
        <w:t>Questionnaire initiale</w:t>
      </w:r>
    </w:p>
    <w:p w14:paraId="5DD06D9A" w14:textId="2AA6C61F" w:rsidR="008918BA" w:rsidRPr="008918BA" w:rsidRDefault="008918BA" w:rsidP="008918BA">
      <w:pPr>
        <w:pStyle w:val="NoSpacing"/>
        <w:numPr>
          <w:ilvl w:val="2"/>
          <w:numId w:val="5"/>
        </w:numPr>
        <w:rPr>
          <w:rFonts w:cs="Times New Roman"/>
        </w:rPr>
      </w:pPr>
      <w:r>
        <w:t>Questionnaire 12/24 mois</w:t>
      </w:r>
    </w:p>
    <w:p w14:paraId="20099506" w14:textId="5DF86C0D" w:rsidR="008918BA" w:rsidRPr="008918BA" w:rsidRDefault="008918BA" w:rsidP="008918BA">
      <w:pPr>
        <w:pStyle w:val="NoSpacing"/>
        <w:numPr>
          <w:ilvl w:val="2"/>
          <w:numId w:val="5"/>
        </w:numPr>
        <w:rPr>
          <w:rFonts w:cs="Times New Roman"/>
        </w:rPr>
      </w:pPr>
      <w:r>
        <w:t>Questionnaire 36 mois</w:t>
      </w:r>
    </w:p>
    <w:p w14:paraId="5B0B5CEA" w14:textId="3A513F26" w:rsidR="008918BA" w:rsidRPr="00540B72" w:rsidRDefault="008918BA" w:rsidP="008918BA">
      <w:pPr>
        <w:pStyle w:val="NoSpacing"/>
        <w:numPr>
          <w:ilvl w:val="2"/>
          <w:numId w:val="5"/>
        </w:numPr>
        <w:rPr>
          <w:rFonts w:cs="Times New Roman"/>
        </w:rPr>
      </w:pPr>
      <w:r>
        <w:t>Questionnaire des MILD sélectionnées pour les bio essais</w:t>
      </w:r>
    </w:p>
    <w:p w14:paraId="59F06D72" w14:textId="01F7146A" w:rsidR="008918BA" w:rsidRPr="008918BA" w:rsidRDefault="008918BA" w:rsidP="00B73711">
      <w:pPr>
        <w:pStyle w:val="NoSpacing"/>
        <w:numPr>
          <w:ilvl w:val="1"/>
          <w:numId w:val="5"/>
        </w:numPr>
        <w:rPr>
          <w:rFonts w:cs="Times New Roman"/>
        </w:rPr>
      </w:pPr>
      <w:r>
        <w:rPr>
          <w:rFonts w:cs="Times New Roman"/>
        </w:rPr>
        <w:t>Script pour l’obtention du consentement</w:t>
      </w:r>
    </w:p>
    <w:p w14:paraId="3232847C" w14:textId="486358F1" w:rsidR="00B73711" w:rsidRPr="00556C88" w:rsidRDefault="00B73711" w:rsidP="008918BA">
      <w:pPr>
        <w:pStyle w:val="NoSpacing"/>
        <w:numPr>
          <w:ilvl w:val="2"/>
          <w:numId w:val="5"/>
        </w:numPr>
        <w:rPr>
          <w:rFonts w:cs="Times New Roman"/>
        </w:rPr>
      </w:pPr>
      <w:r w:rsidRPr="00556C88">
        <w:t>Exemple de script pour l’obtention du consentement verbal des participants</w:t>
      </w:r>
    </w:p>
    <w:p w14:paraId="7ED6E239" w14:textId="01941D6D" w:rsidR="008918BA" w:rsidRPr="00556C88" w:rsidRDefault="008918BA" w:rsidP="008918BA">
      <w:pPr>
        <w:pStyle w:val="NoSpacing"/>
        <w:numPr>
          <w:ilvl w:val="2"/>
          <w:numId w:val="5"/>
        </w:numPr>
        <w:rPr>
          <w:rFonts w:cs="Times New Roman"/>
        </w:rPr>
      </w:pPr>
      <w:r w:rsidRPr="00556C88">
        <w:t>Exemple de script pour l’obtention du consentement verbal dans les ménages où les MILD sont sélectionnées pour les bio essais</w:t>
      </w:r>
    </w:p>
    <w:p w14:paraId="571148A9" w14:textId="2657EECB" w:rsidR="00B73711" w:rsidRPr="000A392A" w:rsidRDefault="00B73711" w:rsidP="00B73711">
      <w:pPr>
        <w:pStyle w:val="NoSpacing"/>
        <w:numPr>
          <w:ilvl w:val="1"/>
          <w:numId w:val="5"/>
        </w:numPr>
        <w:rPr>
          <w:rFonts w:cs="Times New Roman"/>
        </w:rPr>
      </w:pPr>
      <w:r>
        <w:t>Exemple de script pour l’implication des autorités locales et des chefs</w:t>
      </w:r>
    </w:p>
    <w:p w14:paraId="4D1D5D66" w14:textId="18E94064" w:rsidR="00F43176" w:rsidRPr="000A392A" w:rsidRDefault="00F43176" w:rsidP="00B73711">
      <w:pPr>
        <w:pStyle w:val="NoSpacing"/>
        <w:numPr>
          <w:ilvl w:val="1"/>
          <w:numId w:val="5"/>
        </w:numPr>
        <w:rPr>
          <w:rFonts w:cs="Times New Roman"/>
        </w:rPr>
      </w:pPr>
      <w:r>
        <w:t>Exemple de page de saisie des données de surveillance de la durabilité (dossier – Epi Info)</w:t>
      </w:r>
    </w:p>
    <w:p w14:paraId="04BF293F" w14:textId="2E1383DF" w:rsidR="00FD7771" w:rsidRPr="000A392A" w:rsidRDefault="00FD7771" w:rsidP="00B73711">
      <w:pPr>
        <w:pStyle w:val="NoSpacing"/>
        <w:numPr>
          <w:ilvl w:val="1"/>
          <w:numId w:val="5"/>
        </w:numPr>
        <w:rPr>
          <w:rFonts w:cs="Times New Roman"/>
        </w:rPr>
      </w:pPr>
      <w:r>
        <w:t>Outils de sélection des ménages</w:t>
      </w:r>
    </w:p>
    <w:p w14:paraId="349E0ADD" w14:textId="0E935D1B" w:rsidR="00FD7771" w:rsidRPr="000A392A" w:rsidRDefault="00BD4DCC" w:rsidP="00FD7771">
      <w:pPr>
        <w:pStyle w:val="NoSpacing"/>
        <w:numPr>
          <w:ilvl w:val="2"/>
          <w:numId w:val="5"/>
        </w:numPr>
        <w:rPr>
          <w:rFonts w:cs="Times New Roman"/>
        </w:rPr>
      </w:pPr>
      <w:r>
        <w:t>Instructions pour l’échantillonnage des ménages</w:t>
      </w:r>
    </w:p>
    <w:p w14:paraId="6E952DC3" w14:textId="77777777" w:rsidR="00BD4DCC" w:rsidRPr="00540B72" w:rsidRDefault="00BD4DCC" w:rsidP="00BD4DCC">
      <w:pPr>
        <w:pStyle w:val="NoSpacing"/>
        <w:numPr>
          <w:ilvl w:val="2"/>
          <w:numId w:val="5"/>
        </w:numPr>
        <w:rPr>
          <w:rFonts w:cs="Times New Roman"/>
        </w:rPr>
      </w:pPr>
      <w:r>
        <w:t>Liste de numéros aléatoires pour la sélection des sections au sein des grappes</w:t>
      </w:r>
    </w:p>
    <w:p w14:paraId="46679F23" w14:textId="0A179BD9" w:rsidR="00BD4DCC" w:rsidRPr="00540B72" w:rsidRDefault="00BD4DCC" w:rsidP="00FD7771">
      <w:pPr>
        <w:pStyle w:val="NoSpacing"/>
        <w:numPr>
          <w:ilvl w:val="2"/>
          <w:numId w:val="5"/>
        </w:numPr>
        <w:rPr>
          <w:rFonts w:cs="Times New Roman"/>
        </w:rPr>
      </w:pPr>
      <w:r>
        <w:t>Liste de numéros aléatoires pour la sélection des ménages</w:t>
      </w:r>
    </w:p>
    <w:p w14:paraId="6C0987C6" w14:textId="49C66DF2" w:rsidR="00BD4DCC" w:rsidRPr="000A392A" w:rsidRDefault="00BD4DCC" w:rsidP="00FD7771">
      <w:pPr>
        <w:pStyle w:val="NoSpacing"/>
        <w:numPr>
          <w:ilvl w:val="2"/>
          <w:numId w:val="5"/>
        </w:numPr>
        <w:rPr>
          <w:rFonts w:cs="Times New Roman"/>
        </w:rPr>
      </w:pPr>
      <w:r>
        <w:t>Formulaire – liste et sélection des ménages</w:t>
      </w:r>
    </w:p>
    <w:p w14:paraId="6592BF6C" w14:textId="5C74C357" w:rsidR="00BD4DCC" w:rsidRDefault="00BD4DCC" w:rsidP="00FD7771">
      <w:pPr>
        <w:pStyle w:val="NoSpacing"/>
        <w:numPr>
          <w:ilvl w:val="2"/>
          <w:numId w:val="5"/>
        </w:numPr>
        <w:rPr>
          <w:rFonts w:cs="Times New Roman"/>
        </w:rPr>
      </w:pPr>
      <w:r>
        <w:t>Exemple de liste définitive des grappes échantillonnées</w:t>
      </w:r>
    </w:p>
    <w:p w14:paraId="1010C8F6" w14:textId="12633120" w:rsidR="007C3193" w:rsidRDefault="007C3193" w:rsidP="007C3193">
      <w:pPr>
        <w:pStyle w:val="NoSpacing"/>
        <w:numPr>
          <w:ilvl w:val="1"/>
          <w:numId w:val="5"/>
        </w:numPr>
        <w:rPr>
          <w:rFonts w:cs="Times New Roman"/>
        </w:rPr>
      </w:pPr>
      <w:r>
        <w:t>Exemple de fiche de suivi des grappes pour le chef de groupe</w:t>
      </w:r>
    </w:p>
    <w:p w14:paraId="2A353AAD" w14:textId="54EBD68B" w:rsidR="00B72CA7" w:rsidRPr="008918BA" w:rsidRDefault="00757FF1" w:rsidP="007C3193">
      <w:pPr>
        <w:pStyle w:val="NoSpacing"/>
        <w:numPr>
          <w:ilvl w:val="1"/>
          <w:numId w:val="5"/>
        </w:numPr>
        <w:rPr>
          <w:rFonts w:cs="Times New Roman"/>
        </w:rPr>
      </w:pPr>
      <w:r>
        <w:t>Outil de calcul de la taille des échantillons pour la surveillance de la durabilité</w:t>
      </w:r>
    </w:p>
    <w:p w14:paraId="12A09D39" w14:textId="04E7723B" w:rsidR="008918BA" w:rsidRPr="008918BA" w:rsidRDefault="008918BA" w:rsidP="007C3193">
      <w:pPr>
        <w:pStyle w:val="NoSpacing"/>
        <w:numPr>
          <w:ilvl w:val="1"/>
          <w:numId w:val="5"/>
        </w:numPr>
        <w:rPr>
          <w:rFonts w:cs="Times New Roman"/>
        </w:rPr>
      </w:pPr>
      <w:r>
        <w:t>(</w:t>
      </w:r>
      <w:proofErr w:type="gramStart"/>
      <w:r>
        <w:t>numéro</w:t>
      </w:r>
      <w:proofErr w:type="gramEnd"/>
      <w:r>
        <w:t xml:space="preserve"> sauté)</w:t>
      </w:r>
    </w:p>
    <w:p w14:paraId="2A398171" w14:textId="42A06009" w:rsidR="008918BA" w:rsidRPr="008918BA" w:rsidRDefault="008918BA" w:rsidP="007C3193">
      <w:pPr>
        <w:pStyle w:val="NoSpacing"/>
        <w:numPr>
          <w:ilvl w:val="1"/>
          <w:numId w:val="5"/>
        </w:numPr>
        <w:rPr>
          <w:rFonts w:cs="Times New Roman"/>
        </w:rPr>
      </w:pPr>
      <w:r>
        <w:t xml:space="preserve"> Collecte des données sur tablette</w:t>
      </w:r>
    </w:p>
    <w:p w14:paraId="3E15FF53" w14:textId="466B9856" w:rsidR="008918BA" w:rsidRPr="00556C88" w:rsidRDefault="008918BA" w:rsidP="008918BA">
      <w:pPr>
        <w:pStyle w:val="NoSpacing"/>
        <w:numPr>
          <w:ilvl w:val="2"/>
          <w:numId w:val="5"/>
        </w:numPr>
        <w:rPr>
          <w:rFonts w:cs="Times New Roman"/>
        </w:rPr>
      </w:pPr>
      <w:r w:rsidRPr="00556C88">
        <w:t>Introduction à ODK pour le monitoring de la durabilité</w:t>
      </w:r>
    </w:p>
    <w:p w14:paraId="71F45B9D" w14:textId="28BFF04A" w:rsidR="008918BA" w:rsidRDefault="008918BA" w:rsidP="008918BA">
      <w:pPr>
        <w:pStyle w:val="NoSpacing"/>
        <w:numPr>
          <w:ilvl w:val="2"/>
          <w:numId w:val="5"/>
        </w:numPr>
        <w:rPr>
          <w:rFonts w:cs="Times New Roman"/>
        </w:rPr>
      </w:pPr>
      <w:r>
        <w:t>Formulaires ODK pour la collecte des données</w:t>
      </w:r>
    </w:p>
    <w:p w14:paraId="7A95025E" w14:textId="77777777" w:rsidR="00F43176" w:rsidRPr="000A392A" w:rsidRDefault="00F43176" w:rsidP="00F43176">
      <w:pPr>
        <w:pStyle w:val="NoSpacing"/>
        <w:numPr>
          <w:ilvl w:val="0"/>
          <w:numId w:val="5"/>
        </w:numPr>
        <w:rPr>
          <w:rFonts w:cs="Times New Roman"/>
        </w:rPr>
      </w:pPr>
      <w:r>
        <w:t>Supports de formation pour les équipes de terrain</w:t>
      </w:r>
    </w:p>
    <w:p w14:paraId="4188DB11" w14:textId="7F894538" w:rsidR="00F43176" w:rsidRPr="00540B72" w:rsidRDefault="00F43176" w:rsidP="00F43176">
      <w:pPr>
        <w:pStyle w:val="NoSpacing"/>
        <w:numPr>
          <w:ilvl w:val="1"/>
          <w:numId w:val="5"/>
        </w:numPr>
        <w:rPr>
          <w:rFonts w:cs="Times New Roman"/>
        </w:rPr>
      </w:pPr>
      <w:r>
        <w:t>Exemple de programme des ateliers de formation</w:t>
      </w:r>
    </w:p>
    <w:p w14:paraId="3A48EC06" w14:textId="159C642E" w:rsidR="00F43176" w:rsidRPr="00540B72" w:rsidRDefault="00F43176" w:rsidP="00F43176">
      <w:pPr>
        <w:pStyle w:val="NoSpacing"/>
        <w:numPr>
          <w:ilvl w:val="1"/>
          <w:numId w:val="5"/>
        </w:numPr>
        <w:rPr>
          <w:rFonts w:cs="Times New Roman"/>
        </w:rPr>
      </w:pPr>
      <w:r>
        <w:t>Présentations PowerPoint et supports de formation</w:t>
      </w:r>
    </w:p>
    <w:p w14:paraId="1A937BA6" w14:textId="77777777" w:rsidR="00F43176" w:rsidRPr="00540B72" w:rsidRDefault="00F43176" w:rsidP="00F43176">
      <w:pPr>
        <w:pStyle w:val="NoSpacing"/>
        <w:numPr>
          <w:ilvl w:val="2"/>
          <w:numId w:val="5"/>
        </w:numPr>
        <w:rPr>
          <w:rFonts w:cs="Times New Roman"/>
        </w:rPr>
      </w:pPr>
      <w:r>
        <w:t>Contexte de la surveillance de la durabilité</w:t>
      </w:r>
    </w:p>
    <w:p w14:paraId="26FB3E23" w14:textId="44D4B70E" w:rsidR="00F43176" w:rsidRPr="00540B72" w:rsidRDefault="00867525" w:rsidP="00F43176">
      <w:pPr>
        <w:pStyle w:val="NoSpacing"/>
        <w:numPr>
          <w:ilvl w:val="2"/>
          <w:numId w:val="5"/>
        </w:numPr>
        <w:rPr>
          <w:rFonts w:cs="Times New Roman"/>
        </w:rPr>
      </w:pPr>
      <w:r>
        <w:t>Conception de la surveillance</w:t>
      </w:r>
    </w:p>
    <w:p w14:paraId="0F8B8C59" w14:textId="03412264" w:rsidR="00F43176" w:rsidRPr="00540B72" w:rsidRDefault="00F43176" w:rsidP="00F43176">
      <w:pPr>
        <w:pStyle w:val="NoSpacing"/>
        <w:numPr>
          <w:ilvl w:val="2"/>
          <w:numId w:val="5"/>
        </w:numPr>
        <w:rPr>
          <w:rFonts w:cs="Times New Roman"/>
        </w:rPr>
      </w:pPr>
      <w:r>
        <w:t>Sélection des ménages pour le début de l’étude</w:t>
      </w:r>
    </w:p>
    <w:p w14:paraId="7793FEAE" w14:textId="77777777" w:rsidR="00F43176" w:rsidRPr="00540B72" w:rsidRDefault="00F43176" w:rsidP="00F43176">
      <w:pPr>
        <w:pStyle w:val="NoSpacing"/>
        <w:numPr>
          <w:ilvl w:val="2"/>
          <w:numId w:val="5"/>
        </w:numPr>
        <w:rPr>
          <w:rFonts w:cs="Times New Roman"/>
        </w:rPr>
      </w:pPr>
      <w:r>
        <w:t>Présentation générale du questionnaire</w:t>
      </w:r>
    </w:p>
    <w:p w14:paraId="3BAF5E5D" w14:textId="079892B7" w:rsidR="00540B72" w:rsidRPr="000A392A" w:rsidRDefault="00540B72" w:rsidP="00540B72">
      <w:pPr>
        <w:pStyle w:val="NoSpacing"/>
        <w:numPr>
          <w:ilvl w:val="2"/>
          <w:numId w:val="5"/>
        </w:numPr>
        <w:rPr>
          <w:rFonts w:cs="Times New Roman"/>
        </w:rPr>
      </w:pPr>
      <w:r>
        <w:t>Formation à l’évaluation des trous dans les MILD – guide de l’animateur</w:t>
      </w:r>
    </w:p>
    <w:p w14:paraId="3217E773" w14:textId="77777777" w:rsidR="00540B72" w:rsidRPr="000A392A" w:rsidRDefault="00540B72" w:rsidP="00540B72">
      <w:pPr>
        <w:pStyle w:val="NoSpacing"/>
        <w:numPr>
          <w:ilvl w:val="2"/>
          <w:numId w:val="5"/>
        </w:numPr>
        <w:rPr>
          <w:rFonts w:cs="Times New Roman"/>
        </w:rPr>
      </w:pPr>
      <w:r>
        <w:t>Évaluation des trous dans les MILD – diapositives</w:t>
      </w:r>
    </w:p>
    <w:p w14:paraId="589380A2" w14:textId="77777777" w:rsidR="00540B72" w:rsidRPr="000A392A" w:rsidRDefault="00540B72" w:rsidP="00540B72">
      <w:pPr>
        <w:pStyle w:val="NoSpacing"/>
        <w:numPr>
          <w:ilvl w:val="2"/>
          <w:numId w:val="5"/>
        </w:numPr>
        <w:rPr>
          <w:rFonts w:cs="Times New Roman"/>
        </w:rPr>
      </w:pPr>
      <w:r>
        <w:t>Exercice : compter les trous</w:t>
      </w:r>
    </w:p>
    <w:p w14:paraId="02CE1E82" w14:textId="77777777" w:rsidR="00540B72" w:rsidRDefault="00540B72" w:rsidP="00F43176">
      <w:pPr>
        <w:pStyle w:val="NoSpacing"/>
        <w:numPr>
          <w:ilvl w:val="2"/>
          <w:numId w:val="5"/>
        </w:numPr>
        <w:rPr>
          <w:rFonts w:cs="Times New Roman"/>
        </w:rPr>
      </w:pPr>
      <w:r>
        <w:lastRenderedPageBreak/>
        <w:t>Directives pour les entretiens (document Word)</w:t>
      </w:r>
    </w:p>
    <w:p w14:paraId="6D602340" w14:textId="387501F9" w:rsidR="00F43176" w:rsidRPr="00773E18" w:rsidRDefault="00F43176" w:rsidP="00F43176">
      <w:pPr>
        <w:pStyle w:val="NoSpacing"/>
        <w:numPr>
          <w:ilvl w:val="2"/>
          <w:numId w:val="5"/>
        </w:numPr>
        <w:rPr>
          <w:rFonts w:cs="Times New Roman"/>
        </w:rPr>
      </w:pPr>
      <w:r>
        <w:t>Rôles et responsabilités</w:t>
      </w:r>
    </w:p>
    <w:p w14:paraId="532661B1" w14:textId="28692FC3" w:rsidR="00773E18" w:rsidRPr="00540B72" w:rsidRDefault="00773E18" w:rsidP="00F43176">
      <w:pPr>
        <w:pStyle w:val="NoSpacing"/>
        <w:numPr>
          <w:ilvl w:val="2"/>
          <w:numId w:val="5"/>
        </w:numPr>
        <w:rPr>
          <w:rFonts w:cs="Times New Roman"/>
        </w:rPr>
      </w:pPr>
      <w:r>
        <w:t>Trouver les ménages à 12-24-36 mois avec le GPS</w:t>
      </w:r>
    </w:p>
    <w:p w14:paraId="400D5822" w14:textId="69230B93" w:rsidR="00F43176" w:rsidRPr="00540B72" w:rsidRDefault="00540B72" w:rsidP="00F43176">
      <w:pPr>
        <w:pStyle w:val="NoSpacing"/>
        <w:numPr>
          <w:ilvl w:val="1"/>
          <w:numId w:val="5"/>
        </w:numPr>
        <w:rPr>
          <w:rFonts w:cs="Times New Roman"/>
        </w:rPr>
      </w:pPr>
      <w:r>
        <w:t>Fiches support</w:t>
      </w:r>
    </w:p>
    <w:p w14:paraId="34D2C3D5" w14:textId="77777777" w:rsidR="00F43176" w:rsidRPr="00540B72" w:rsidRDefault="00C31A27" w:rsidP="00F43176">
      <w:pPr>
        <w:pStyle w:val="NoSpacing"/>
        <w:numPr>
          <w:ilvl w:val="2"/>
          <w:numId w:val="5"/>
        </w:numPr>
        <w:rPr>
          <w:rFonts w:cs="Times New Roman"/>
        </w:rPr>
      </w:pPr>
      <w:r>
        <w:t>Outil de terrain de 2 pages pour compter et mesurer les trous</w:t>
      </w:r>
    </w:p>
    <w:p w14:paraId="14AF9F25" w14:textId="77777777" w:rsidR="00C31A27" w:rsidRPr="00540B72" w:rsidRDefault="00C31A27" w:rsidP="00F43176">
      <w:pPr>
        <w:pStyle w:val="NoSpacing"/>
        <w:numPr>
          <w:ilvl w:val="2"/>
          <w:numId w:val="5"/>
        </w:numPr>
        <w:rPr>
          <w:rFonts w:cs="Times New Roman"/>
        </w:rPr>
      </w:pPr>
      <w:r>
        <w:t>Fiche support : marques de MILD et étiquettes</w:t>
      </w:r>
    </w:p>
    <w:p w14:paraId="3078FCF9" w14:textId="77777777" w:rsidR="00C31A27" w:rsidRPr="00540B72" w:rsidRDefault="00C31A27" w:rsidP="00F43176">
      <w:pPr>
        <w:pStyle w:val="NoSpacing"/>
        <w:numPr>
          <w:ilvl w:val="2"/>
          <w:numId w:val="5"/>
        </w:numPr>
        <w:rPr>
          <w:rFonts w:cs="Times New Roman"/>
        </w:rPr>
      </w:pPr>
      <w:r>
        <w:t>Fiche support : types de trous</w:t>
      </w:r>
    </w:p>
    <w:p w14:paraId="2FED186A" w14:textId="2FE4947D" w:rsidR="00FD7771" w:rsidRPr="00540B72" w:rsidRDefault="00BD4DCC" w:rsidP="00FD7771">
      <w:pPr>
        <w:pStyle w:val="NoSpacing"/>
        <w:numPr>
          <w:ilvl w:val="1"/>
          <w:numId w:val="5"/>
        </w:numPr>
        <w:rPr>
          <w:rFonts w:cs="Times New Roman"/>
        </w:rPr>
      </w:pPr>
      <w:r>
        <w:t>Quiz final et sélection des équipes de terrain</w:t>
      </w:r>
    </w:p>
    <w:p w14:paraId="35CE7A58" w14:textId="14A44442" w:rsidR="00FD7771" w:rsidRPr="00540B72" w:rsidRDefault="00FD7771" w:rsidP="00FD7771">
      <w:pPr>
        <w:pStyle w:val="NoSpacing"/>
        <w:numPr>
          <w:ilvl w:val="2"/>
          <w:numId w:val="5"/>
        </w:numPr>
        <w:rPr>
          <w:rFonts w:cs="Times New Roman"/>
        </w:rPr>
      </w:pPr>
      <w:r>
        <w:t>Quiz final</w:t>
      </w:r>
    </w:p>
    <w:p w14:paraId="1CEB9448" w14:textId="7CDB50FE" w:rsidR="00FD7771" w:rsidRPr="00D047E2" w:rsidRDefault="00FD7771" w:rsidP="00FD7771">
      <w:pPr>
        <w:pStyle w:val="NoSpacing"/>
        <w:numPr>
          <w:ilvl w:val="2"/>
          <w:numId w:val="5"/>
        </w:numPr>
        <w:rPr>
          <w:rFonts w:cs="Times New Roman"/>
        </w:rPr>
      </w:pPr>
      <w:r>
        <w:t>Quiz final : réponses</w:t>
      </w:r>
    </w:p>
    <w:p w14:paraId="3B9B3668" w14:textId="24BA0D06" w:rsidR="00D047E2" w:rsidRPr="00D047E2" w:rsidRDefault="00D047E2" w:rsidP="00D047E2">
      <w:pPr>
        <w:pStyle w:val="NoSpacing"/>
        <w:numPr>
          <w:ilvl w:val="0"/>
          <w:numId w:val="5"/>
        </w:numPr>
        <w:rPr>
          <w:rFonts w:cs="Times New Roman"/>
        </w:rPr>
      </w:pPr>
      <w:proofErr w:type="spellStart"/>
      <w:r>
        <w:t>Materiaux</w:t>
      </w:r>
      <w:proofErr w:type="spellEnd"/>
      <w:r>
        <w:t xml:space="preserve"> de Terrain</w:t>
      </w:r>
    </w:p>
    <w:p w14:paraId="1992830B" w14:textId="4699D6FA" w:rsidR="00D047E2" w:rsidRPr="00D047E2" w:rsidRDefault="00D047E2" w:rsidP="00D047E2">
      <w:pPr>
        <w:pStyle w:val="NoSpacing"/>
        <w:numPr>
          <w:ilvl w:val="1"/>
          <w:numId w:val="5"/>
        </w:numPr>
        <w:rPr>
          <w:rFonts w:cs="Times New Roman"/>
        </w:rPr>
      </w:pPr>
      <w:r>
        <w:t xml:space="preserve">Codes à barre d’identification des MILD pour faciliter le transfert d’ID au </w:t>
      </w:r>
      <w:proofErr w:type="spellStart"/>
      <w:r>
        <w:t>baseline</w:t>
      </w:r>
      <w:proofErr w:type="spellEnd"/>
      <w:r>
        <w:t xml:space="preserve"> dans les tablettes</w:t>
      </w:r>
    </w:p>
    <w:p w14:paraId="6475889F" w14:textId="1FB83F35" w:rsidR="00D047E2" w:rsidRPr="00540B72" w:rsidRDefault="00D047E2" w:rsidP="00D047E2">
      <w:pPr>
        <w:pStyle w:val="NoSpacing"/>
        <w:numPr>
          <w:ilvl w:val="1"/>
          <w:numId w:val="5"/>
        </w:numPr>
        <w:rPr>
          <w:rFonts w:cs="Times New Roman"/>
        </w:rPr>
      </w:pPr>
      <w:r>
        <w:rPr>
          <w:rFonts w:cs="Times New Roman"/>
        </w:rPr>
        <w:t xml:space="preserve">Liste de </w:t>
      </w:r>
      <w:proofErr w:type="spellStart"/>
      <w:r>
        <w:rPr>
          <w:rFonts w:cs="Times New Roman"/>
        </w:rPr>
        <w:t>materiaux</w:t>
      </w:r>
      <w:proofErr w:type="spellEnd"/>
      <w:r>
        <w:rPr>
          <w:rFonts w:cs="Times New Roman"/>
        </w:rPr>
        <w:t xml:space="preserve"> pour la formation et travail sur le terrain</w:t>
      </w:r>
    </w:p>
    <w:p w14:paraId="69280FBC" w14:textId="1CEADADF" w:rsidR="00F74B65" w:rsidRPr="00DE76ED" w:rsidRDefault="00BD4DCC" w:rsidP="00BD4DCC">
      <w:pPr>
        <w:pStyle w:val="Heading2"/>
      </w:pPr>
      <w:r>
        <w:t xml:space="preserve">Partie 2 : analyse et </w:t>
      </w:r>
      <w:proofErr w:type="spellStart"/>
      <w:r>
        <w:t>reporting</w:t>
      </w:r>
      <w:proofErr w:type="spellEnd"/>
      <w:r>
        <w:t xml:space="preserve"> des données</w:t>
      </w:r>
    </w:p>
    <w:p w14:paraId="3E094384" w14:textId="440E1670" w:rsidR="00C44CEC" w:rsidRPr="00A45641" w:rsidRDefault="00A45641" w:rsidP="00A45641">
      <w:pPr>
        <w:pStyle w:val="ListParagraph"/>
        <w:numPr>
          <w:ilvl w:val="0"/>
          <w:numId w:val="5"/>
        </w:numPr>
        <w:rPr>
          <w:rFonts w:cs="Times New Roman"/>
        </w:rPr>
      </w:pPr>
      <w:r>
        <w:t>Exemple « do-file » en Stata</w:t>
      </w:r>
    </w:p>
    <w:p w14:paraId="6B7F9F07" w14:textId="477D1114" w:rsidR="00A45641" w:rsidRDefault="00A45641" w:rsidP="00A45641">
      <w:pPr>
        <w:pStyle w:val="ListParagraph"/>
        <w:numPr>
          <w:ilvl w:val="1"/>
          <w:numId w:val="1"/>
        </w:numPr>
        <w:rPr>
          <w:rFonts w:cs="Times New Roman"/>
        </w:rPr>
      </w:pPr>
      <w:proofErr w:type="spellStart"/>
      <w:r>
        <w:rPr>
          <w:rFonts w:cs="Times New Roman"/>
        </w:rPr>
        <w:t>Preparation</w:t>
      </w:r>
      <w:proofErr w:type="spellEnd"/>
      <w:r>
        <w:rPr>
          <w:rFonts w:cs="Times New Roman"/>
        </w:rPr>
        <w:t xml:space="preserve"> des données crus</w:t>
      </w:r>
    </w:p>
    <w:p w14:paraId="5DC41C43" w14:textId="240504D5" w:rsidR="00A45641" w:rsidRPr="003743B9" w:rsidRDefault="00A45641" w:rsidP="00A45641">
      <w:pPr>
        <w:pStyle w:val="ListParagraph"/>
        <w:numPr>
          <w:ilvl w:val="1"/>
          <w:numId w:val="1"/>
        </w:numPr>
        <w:rPr>
          <w:rFonts w:cs="Times New Roman"/>
        </w:rPr>
      </w:pPr>
      <w:proofErr w:type="spellStart"/>
      <w:r>
        <w:rPr>
          <w:rFonts w:cs="Times New Roman"/>
        </w:rPr>
        <w:t>Labeller</w:t>
      </w:r>
      <w:proofErr w:type="spellEnd"/>
      <w:r>
        <w:rPr>
          <w:rFonts w:cs="Times New Roman"/>
        </w:rPr>
        <w:t xml:space="preserve"> les variables pour faciliter la comparabilité des données</w:t>
      </w:r>
    </w:p>
    <w:p w14:paraId="046FE59D" w14:textId="7614DA77" w:rsidR="00C44CEC" w:rsidRPr="00A45641" w:rsidRDefault="00A45641" w:rsidP="00C44CEC">
      <w:pPr>
        <w:pStyle w:val="ListParagraph"/>
        <w:numPr>
          <w:ilvl w:val="1"/>
          <w:numId w:val="1"/>
        </w:numPr>
        <w:rPr>
          <w:rFonts w:cs="Times New Roman"/>
        </w:rPr>
      </w:pPr>
      <w:r>
        <w:t>Nettoyage des données</w:t>
      </w:r>
    </w:p>
    <w:p w14:paraId="0B3B1EAF" w14:textId="3C4F13FB" w:rsidR="00A45641" w:rsidRPr="00A45641" w:rsidRDefault="00A45641" w:rsidP="00C44CEC">
      <w:pPr>
        <w:pStyle w:val="ListParagraph"/>
        <w:numPr>
          <w:ilvl w:val="1"/>
          <w:numId w:val="1"/>
        </w:numPr>
        <w:rPr>
          <w:rFonts w:cs="Times New Roman"/>
        </w:rPr>
      </w:pPr>
      <w:proofErr w:type="spellStart"/>
      <w:r>
        <w:t>Preparation</w:t>
      </w:r>
      <w:proofErr w:type="spellEnd"/>
      <w:r>
        <w:t xml:space="preserve"> de la base des données pour l’analyse</w:t>
      </w:r>
    </w:p>
    <w:p w14:paraId="06D88ABC" w14:textId="61BCA2C4" w:rsidR="00A45641" w:rsidRDefault="00A45641" w:rsidP="00C44CEC">
      <w:pPr>
        <w:pStyle w:val="ListParagraph"/>
        <w:numPr>
          <w:ilvl w:val="1"/>
          <w:numId w:val="1"/>
        </w:numPr>
        <w:rPr>
          <w:rFonts w:cs="Times New Roman"/>
        </w:rPr>
      </w:pPr>
      <w:r>
        <w:rPr>
          <w:rFonts w:cs="Times New Roman"/>
        </w:rPr>
        <w:t xml:space="preserve">Joindre les données de </w:t>
      </w:r>
      <w:proofErr w:type="spellStart"/>
      <w:r>
        <w:rPr>
          <w:rFonts w:cs="Times New Roman"/>
        </w:rPr>
        <w:t>differentes</w:t>
      </w:r>
      <w:proofErr w:type="spellEnd"/>
      <w:r>
        <w:rPr>
          <w:rFonts w:cs="Times New Roman"/>
        </w:rPr>
        <w:t xml:space="preserve"> sites</w:t>
      </w:r>
    </w:p>
    <w:p w14:paraId="40BE5B2D" w14:textId="1CBD15BE" w:rsidR="00A45641" w:rsidRPr="003743B9" w:rsidRDefault="00A45641" w:rsidP="00C44CEC">
      <w:pPr>
        <w:pStyle w:val="ListParagraph"/>
        <w:numPr>
          <w:ilvl w:val="1"/>
          <w:numId w:val="1"/>
        </w:numPr>
        <w:rPr>
          <w:rFonts w:cs="Times New Roman"/>
        </w:rPr>
      </w:pPr>
      <w:r>
        <w:rPr>
          <w:rFonts w:cs="Times New Roman"/>
        </w:rPr>
        <w:t xml:space="preserve">Produire les </w:t>
      </w:r>
      <w:proofErr w:type="spellStart"/>
      <w:r>
        <w:rPr>
          <w:rFonts w:cs="Times New Roman"/>
        </w:rPr>
        <w:t>resultats</w:t>
      </w:r>
      <w:proofErr w:type="spellEnd"/>
      <w:r>
        <w:rPr>
          <w:rFonts w:cs="Times New Roman"/>
        </w:rPr>
        <w:t xml:space="preserve"> </w:t>
      </w:r>
      <w:proofErr w:type="spellStart"/>
      <w:r>
        <w:rPr>
          <w:rFonts w:cs="Times New Roman"/>
        </w:rPr>
        <w:t>baseline</w:t>
      </w:r>
      <w:proofErr w:type="spellEnd"/>
    </w:p>
    <w:p w14:paraId="40F09E00" w14:textId="3D3E12D2" w:rsidR="00F74B65" w:rsidRPr="003743B9" w:rsidRDefault="00A45641" w:rsidP="00A45641">
      <w:pPr>
        <w:pStyle w:val="ListParagraph"/>
        <w:numPr>
          <w:ilvl w:val="0"/>
          <w:numId w:val="5"/>
        </w:numPr>
        <w:rPr>
          <w:rFonts w:cs="Times New Roman"/>
        </w:rPr>
      </w:pPr>
      <w:r>
        <w:t>R</w:t>
      </w:r>
      <w:r w:rsidR="00C44CEC">
        <w:t>édaction de</w:t>
      </w:r>
      <w:r>
        <w:t xml:space="preserve"> rapport Baseline</w:t>
      </w:r>
    </w:p>
    <w:p w14:paraId="767661AE" w14:textId="0CD6245E" w:rsidR="00C44CEC" w:rsidRPr="00A45641" w:rsidRDefault="00A45641" w:rsidP="00F74B65">
      <w:pPr>
        <w:pStyle w:val="ListParagraph"/>
        <w:numPr>
          <w:ilvl w:val="1"/>
          <w:numId w:val="1"/>
        </w:numPr>
        <w:rPr>
          <w:rFonts w:cs="Times New Roman"/>
        </w:rPr>
      </w:pPr>
      <w:r>
        <w:t xml:space="preserve">Dictionnaire de données </w:t>
      </w:r>
      <w:proofErr w:type="spellStart"/>
      <w:r>
        <w:t>baseline</w:t>
      </w:r>
      <w:proofErr w:type="spellEnd"/>
    </w:p>
    <w:p w14:paraId="5B83028F" w14:textId="22573712" w:rsidR="00F74B65" w:rsidRPr="00A45641" w:rsidRDefault="00F74B65" w:rsidP="00F74B65">
      <w:pPr>
        <w:pStyle w:val="ListParagraph"/>
        <w:numPr>
          <w:ilvl w:val="1"/>
          <w:numId w:val="1"/>
        </w:numPr>
        <w:rPr>
          <w:rFonts w:cs="Times New Roman"/>
        </w:rPr>
      </w:pPr>
      <w:r>
        <w:t xml:space="preserve">Modèle de </w:t>
      </w:r>
      <w:r w:rsidR="00A45641">
        <w:t xml:space="preserve">rapport de </w:t>
      </w:r>
      <w:proofErr w:type="spellStart"/>
      <w:r w:rsidR="00A45641">
        <w:t>baseline</w:t>
      </w:r>
      <w:proofErr w:type="spellEnd"/>
      <w:r>
        <w:t xml:space="preserve"> avec exemples de tableaux </w:t>
      </w:r>
    </w:p>
    <w:p w14:paraId="06E8733A" w14:textId="74BB3071" w:rsidR="00A45641" w:rsidRPr="00A45641" w:rsidRDefault="00A45641" w:rsidP="00F74B65">
      <w:pPr>
        <w:pStyle w:val="ListParagraph"/>
        <w:numPr>
          <w:ilvl w:val="1"/>
          <w:numId w:val="1"/>
        </w:numPr>
        <w:rPr>
          <w:rFonts w:cs="Times New Roman"/>
        </w:rPr>
      </w:pPr>
      <w:r>
        <w:t xml:space="preserve">Canevas de graphiques </w:t>
      </w:r>
      <w:proofErr w:type="spellStart"/>
      <w:r>
        <w:t>baseline</w:t>
      </w:r>
      <w:proofErr w:type="spellEnd"/>
    </w:p>
    <w:p w14:paraId="6D6C5930" w14:textId="7F380C61" w:rsidR="00A45641" w:rsidRPr="00184019" w:rsidRDefault="00A45641" w:rsidP="00A45641">
      <w:pPr>
        <w:pStyle w:val="ListParagraph"/>
        <w:numPr>
          <w:ilvl w:val="0"/>
          <w:numId w:val="5"/>
        </w:numPr>
        <w:rPr>
          <w:rFonts w:cs="Times New Roman"/>
          <w:color w:val="000000" w:themeColor="text1"/>
        </w:rPr>
      </w:pPr>
      <w:bookmarkStart w:id="0" w:name="_GoBack"/>
      <w:r w:rsidRPr="00184019">
        <w:rPr>
          <w:color w:val="000000" w:themeColor="text1"/>
        </w:rPr>
        <w:t>Rédaction de rapport 12/24 mois</w:t>
      </w:r>
    </w:p>
    <w:bookmarkEnd w:id="0"/>
    <w:p w14:paraId="70A66E36" w14:textId="66D6E531" w:rsidR="00A45641" w:rsidRPr="00A45641" w:rsidRDefault="00A45641" w:rsidP="00A45641">
      <w:pPr>
        <w:pStyle w:val="ListParagraph"/>
        <w:numPr>
          <w:ilvl w:val="1"/>
          <w:numId w:val="1"/>
        </w:numPr>
        <w:rPr>
          <w:rFonts w:cs="Times New Roman"/>
          <w:color w:val="808080" w:themeColor="background1" w:themeShade="80"/>
        </w:rPr>
      </w:pPr>
      <w:r w:rsidRPr="00A45641">
        <w:rPr>
          <w:color w:val="808080" w:themeColor="background1" w:themeShade="80"/>
        </w:rPr>
        <w:t>Dictionnaire de données 12/24 mois</w:t>
      </w:r>
    </w:p>
    <w:p w14:paraId="3BDEFD7C" w14:textId="082623ED" w:rsidR="00A45641" w:rsidRPr="00773E18" w:rsidRDefault="00A45641" w:rsidP="00A45641">
      <w:pPr>
        <w:pStyle w:val="ListParagraph"/>
        <w:numPr>
          <w:ilvl w:val="1"/>
          <w:numId w:val="1"/>
        </w:numPr>
        <w:rPr>
          <w:rFonts w:cs="Times New Roman"/>
        </w:rPr>
      </w:pPr>
      <w:r w:rsidRPr="00773E18">
        <w:t xml:space="preserve">Modèle de rapport de 12/24 mois avec exemples de tableaux </w:t>
      </w:r>
    </w:p>
    <w:p w14:paraId="74AF5F3A" w14:textId="4EC46D22" w:rsidR="00A45641" w:rsidRPr="00773E18" w:rsidRDefault="00A45641" w:rsidP="00A45641">
      <w:pPr>
        <w:pStyle w:val="ListParagraph"/>
        <w:numPr>
          <w:ilvl w:val="1"/>
          <w:numId w:val="1"/>
        </w:numPr>
        <w:rPr>
          <w:rFonts w:cs="Times New Roman"/>
        </w:rPr>
      </w:pPr>
      <w:r w:rsidRPr="00773E18">
        <w:t>Canevas de graphiques 12/24 mois</w:t>
      </w:r>
    </w:p>
    <w:p w14:paraId="4499D18E" w14:textId="510DDD8A" w:rsidR="00A45641" w:rsidRPr="00A45641" w:rsidRDefault="00A45641" w:rsidP="00A45641">
      <w:pPr>
        <w:pStyle w:val="ListParagraph"/>
        <w:numPr>
          <w:ilvl w:val="1"/>
          <w:numId w:val="1"/>
        </w:numPr>
        <w:rPr>
          <w:rFonts w:cs="Times New Roman"/>
        </w:rPr>
      </w:pPr>
      <w:r>
        <w:t>Outil pour calculer et faire des graphiques de la survie des MILD médiane pour des sites ou marques multiples</w:t>
      </w:r>
    </w:p>
    <w:p w14:paraId="06E52477" w14:textId="775CD83E" w:rsidR="00A45641" w:rsidRPr="00A45641" w:rsidRDefault="00A45641" w:rsidP="00A45641">
      <w:pPr>
        <w:pStyle w:val="ListParagraph"/>
        <w:numPr>
          <w:ilvl w:val="0"/>
          <w:numId w:val="5"/>
        </w:numPr>
        <w:rPr>
          <w:rFonts w:cs="Times New Roman"/>
          <w:color w:val="808080" w:themeColor="background1" w:themeShade="80"/>
        </w:rPr>
      </w:pPr>
      <w:r w:rsidRPr="00A45641">
        <w:rPr>
          <w:color w:val="808080" w:themeColor="background1" w:themeShade="80"/>
        </w:rPr>
        <w:t>Rédaction de rapport 36 mois</w:t>
      </w:r>
    </w:p>
    <w:p w14:paraId="1FB4AE64" w14:textId="117BB7BC" w:rsidR="00A45641" w:rsidRPr="00A45641" w:rsidRDefault="00A45641" w:rsidP="00A45641">
      <w:pPr>
        <w:pStyle w:val="ListParagraph"/>
        <w:numPr>
          <w:ilvl w:val="1"/>
          <w:numId w:val="1"/>
        </w:numPr>
        <w:rPr>
          <w:rFonts w:cs="Times New Roman"/>
          <w:color w:val="808080" w:themeColor="background1" w:themeShade="80"/>
        </w:rPr>
      </w:pPr>
      <w:r w:rsidRPr="00A45641">
        <w:rPr>
          <w:color w:val="808080" w:themeColor="background1" w:themeShade="80"/>
        </w:rPr>
        <w:t>Dictionnaire de données 36 mois</w:t>
      </w:r>
    </w:p>
    <w:p w14:paraId="7192FEE7" w14:textId="4EACCE43" w:rsidR="00A45641" w:rsidRPr="00A45641" w:rsidRDefault="00A45641" w:rsidP="00A45641">
      <w:pPr>
        <w:pStyle w:val="ListParagraph"/>
        <w:numPr>
          <w:ilvl w:val="1"/>
          <w:numId w:val="1"/>
        </w:numPr>
        <w:rPr>
          <w:rFonts w:cs="Times New Roman"/>
          <w:color w:val="808080" w:themeColor="background1" w:themeShade="80"/>
        </w:rPr>
      </w:pPr>
      <w:r w:rsidRPr="00A45641">
        <w:rPr>
          <w:color w:val="808080" w:themeColor="background1" w:themeShade="80"/>
        </w:rPr>
        <w:t xml:space="preserve">Modèle de rapport de 36 mois avec exemples de tableaux </w:t>
      </w:r>
    </w:p>
    <w:p w14:paraId="2F49D62F" w14:textId="64C3BF96" w:rsidR="00A45641" w:rsidRPr="00A45641" w:rsidRDefault="00A45641" w:rsidP="00A45641">
      <w:pPr>
        <w:pStyle w:val="ListParagraph"/>
        <w:numPr>
          <w:ilvl w:val="1"/>
          <w:numId w:val="1"/>
        </w:numPr>
        <w:rPr>
          <w:rFonts w:cs="Times New Roman"/>
          <w:color w:val="808080" w:themeColor="background1" w:themeShade="80"/>
        </w:rPr>
      </w:pPr>
      <w:r w:rsidRPr="00A45641">
        <w:rPr>
          <w:color w:val="808080" w:themeColor="background1" w:themeShade="80"/>
        </w:rPr>
        <w:t>Canevas de graphiques 36 mois</w:t>
      </w:r>
    </w:p>
    <w:p w14:paraId="2CD08C58" w14:textId="129C9336" w:rsidR="00C44CEC" w:rsidRPr="00773E18" w:rsidRDefault="003743B9" w:rsidP="00A45641">
      <w:pPr>
        <w:pStyle w:val="ListParagraph"/>
        <w:numPr>
          <w:ilvl w:val="0"/>
          <w:numId w:val="5"/>
        </w:numPr>
        <w:rPr>
          <w:rFonts w:cs="Times New Roman"/>
        </w:rPr>
      </w:pPr>
      <w:r w:rsidRPr="00773E18">
        <w:t>Envoi et utilisation des données</w:t>
      </w:r>
    </w:p>
    <w:p w14:paraId="206232D2" w14:textId="0236EA18" w:rsidR="00F74B65" w:rsidRPr="00773E18" w:rsidRDefault="00773E18" w:rsidP="00F74B65">
      <w:pPr>
        <w:pStyle w:val="ListParagraph"/>
        <w:numPr>
          <w:ilvl w:val="1"/>
          <w:numId w:val="1"/>
        </w:numPr>
        <w:rPr>
          <w:rFonts w:cs="Times New Roman"/>
        </w:rPr>
      </w:pPr>
      <w:r w:rsidRPr="00773E18">
        <w:t>Inclus dans le manuel de mise en œuvre, section 9.5</w:t>
      </w:r>
    </w:p>
    <w:p w14:paraId="0B0D6B8C" w14:textId="77777777" w:rsidR="003743B9" w:rsidRPr="00773E18" w:rsidRDefault="003743B9" w:rsidP="00A45641">
      <w:pPr>
        <w:pStyle w:val="ListParagraph"/>
        <w:numPr>
          <w:ilvl w:val="0"/>
          <w:numId w:val="5"/>
        </w:numPr>
        <w:rPr>
          <w:rFonts w:cs="Times New Roman"/>
        </w:rPr>
      </w:pPr>
      <w:r w:rsidRPr="00773E18">
        <w:t>Interprétation des résultats</w:t>
      </w:r>
    </w:p>
    <w:p w14:paraId="44CB98A8" w14:textId="35BF0D16" w:rsidR="00F74B65" w:rsidRPr="00773E18" w:rsidRDefault="00773E18" w:rsidP="003743B9">
      <w:pPr>
        <w:pStyle w:val="ListParagraph"/>
        <w:numPr>
          <w:ilvl w:val="1"/>
          <w:numId w:val="1"/>
        </w:numPr>
        <w:rPr>
          <w:rFonts w:cs="Times New Roman"/>
        </w:rPr>
      </w:pPr>
      <w:r w:rsidRPr="00773E18">
        <w:rPr>
          <w:rFonts w:cs="Times New Roman"/>
        </w:rPr>
        <w:t>10a. Interprétation des résultats pour de décisions programmatiques</w:t>
      </w:r>
    </w:p>
    <w:p w14:paraId="5E3503A2" w14:textId="77777777" w:rsidR="00706AD7" w:rsidRPr="00773E18" w:rsidRDefault="00706AD7" w:rsidP="00706AD7"/>
    <w:sectPr w:rsidR="00706AD7" w:rsidRPr="00773E18" w:rsidSect="009213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A72D" w14:textId="77777777" w:rsidR="008A0700" w:rsidRDefault="008A0700" w:rsidP="004F2BC8">
      <w:pPr>
        <w:spacing w:after="0" w:line="240" w:lineRule="auto"/>
      </w:pPr>
      <w:r>
        <w:separator/>
      </w:r>
    </w:p>
  </w:endnote>
  <w:endnote w:type="continuationSeparator" w:id="0">
    <w:p w14:paraId="39071388" w14:textId="77777777" w:rsidR="008A0700" w:rsidRDefault="008A0700" w:rsidP="004F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801579"/>
      <w:docPartObj>
        <w:docPartGallery w:val="Page Numbers (Bottom of Page)"/>
        <w:docPartUnique/>
      </w:docPartObj>
    </w:sdtPr>
    <w:sdtEndPr>
      <w:rPr>
        <w:noProof/>
      </w:rPr>
    </w:sdtEndPr>
    <w:sdtContent>
      <w:p w14:paraId="673D287A" w14:textId="27027EA1" w:rsidR="00C25F2C" w:rsidRDefault="00C25F2C">
        <w:pPr>
          <w:pStyle w:val="Footer"/>
          <w:jc w:val="right"/>
        </w:pPr>
        <w:r>
          <w:fldChar w:fldCharType="begin"/>
        </w:r>
        <w:r>
          <w:instrText xml:space="preserve"> PAGE   \* MERGEFORMAT </w:instrText>
        </w:r>
        <w:r>
          <w:fldChar w:fldCharType="separate"/>
        </w:r>
        <w:r w:rsidR="00184019">
          <w:rPr>
            <w:noProof/>
          </w:rPr>
          <w:t>3</w:t>
        </w:r>
        <w:r>
          <w:rPr>
            <w:noProof/>
          </w:rPr>
          <w:fldChar w:fldCharType="end"/>
        </w:r>
      </w:p>
    </w:sdtContent>
  </w:sdt>
  <w:p w14:paraId="50AED0DB" w14:textId="77777777" w:rsidR="00C25F2C" w:rsidRDefault="00C25F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F2BC7" w14:textId="77777777" w:rsidR="008A0700" w:rsidRDefault="008A0700" w:rsidP="004F2BC8">
      <w:pPr>
        <w:spacing w:after="0" w:line="240" w:lineRule="auto"/>
      </w:pPr>
      <w:r>
        <w:separator/>
      </w:r>
    </w:p>
  </w:footnote>
  <w:footnote w:type="continuationSeparator" w:id="0">
    <w:p w14:paraId="71FC3985" w14:textId="77777777" w:rsidR="008A0700" w:rsidRDefault="008A0700" w:rsidP="004F2B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646AB" w14:textId="0D6A5DD4" w:rsidR="00C25F2C" w:rsidRDefault="008918BA">
    <w:pPr>
      <w:pStyle w:val="Header"/>
    </w:pPr>
    <w:r>
      <w:rPr>
        <w:noProof/>
        <w:lang w:val="en-US" w:eastAsia="en-US" w:bidi="ar-SA"/>
      </w:rPr>
      <w:drawing>
        <wp:anchor distT="0" distB="0" distL="114300" distR="114300" simplePos="0" relativeHeight="251658752" behindDoc="0" locked="0" layoutInCell="1" allowOverlap="1" wp14:anchorId="68DE8724" wp14:editId="3BF36D49">
          <wp:simplePos x="0" y="0"/>
          <wp:positionH relativeFrom="column">
            <wp:posOffset>4683318</wp:posOffset>
          </wp:positionH>
          <wp:positionV relativeFrom="paragraph">
            <wp:posOffset>-226612</wp:posOffset>
          </wp:positionV>
          <wp:extent cx="1423035" cy="3539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1423035" cy="353934"/>
                  </a:xfrm>
                  <a:prstGeom prst="rect">
                    <a:avLst/>
                  </a:prstGeom>
                </pic:spPr>
              </pic:pic>
            </a:graphicData>
          </a:graphic>
          <wp14:sizeRelH relativeFrom="page">
            <wp14:pctWidth>0</wp14:pctWidth>
          </wp14:sizeRelH>
          <wp14:sizeRelV relativeFrom="page">
            <wp14:pctHeight>0</wp14:pctHeight>
          </wp14:sizeRelV>
        </wp:anchor>
      </w:drawing>
    </w:r>
    <w:r w:rsidR="00C25F2C">
      <w:t xml:space="preserve">Dernière version : </w:t>
    </w:r>
    <w:r>
      <w:t>2</w:t>
    </w:r>
    <w:r w:rsidR="00773E18">
      <w:t>6</w:t>
    </w:r>
    <w:r w:rsidR="00C25F2C">
      <w:t xml:space="preserve"> octobre 201</w:t>
    </w:r>
    <w:r w:rsidR="00773E18">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168A0"/>
    <w:multiLevelType w:val="hybridMultilevel"/>
    <w:tmpl w:val="FF806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810A4"/>
    <w:multiLevelType w:val="hybridMultilevel"/>
    <w:tmpl w:val="314214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737C23"/>
    <w:multiLevelType w:val="hybridMultilevel"/>
    <w:tmpl w:val="592C8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B8333C"/>
    <w:multiLevelType w:val="hybridMultilevel"/>
    <w:tmpl w:val="D66EB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959B6"/>
    <w:multiLevelType w:val="hybridMultilevel"/>
    <w:tmpl w:val="0CD22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D7"/>
    <w:rsid w:val="0001702A"/>
    <w:rsid w:val="000303AD"/>
    <w:rsid w:val="00081A4B"/>
    <w:rsid w:val="000A392A"/>
    <w:rsid w:val="0012259E"/>
    <w:rsid w:val="00140694"/>
    <w:rsid w:val="00184019"/>
    <w:rsid w:val="001A6E11"/>
    <w:rsid w:val="001D4254"/>
    <w:rsid w:val="001E6C2B"/>
    <w:rsid w:val="00312D32"/>
    <w:rsid w:val="00363EA0"/>
    <w:rsid w:val="003743B9"/>
    <w:rsid w:val="00383C18"/>
    <w:rsid w:val="00400195"/>
    <w:rsid w:val="00483CF4"/>
    <w:rsid w:val="004F2BC8"/>
    <w:rsid w:val="005012E9"/>
    <w:rsid w:val="00540B72"/>
    <w:rsid w:val="00556C88"/>
    <w:rsid w:val="00626B39"/>
    <w:rsid w:val="006924DF"/>
    <w:rsid w:val="006E5B08"/>
    <w:rsid w:val="00706AD7"/>
    <w:rsid w:val="00724DF1"/>
    <w:rsid w:val="0075662D"/>
    <w:rsid w:val="00757FF1"/>
    <w:rsid w:val="00773E18"/>
    <w:rsid w:val="00796A5F"/>
    <w:rsid w:val="007C3193"/>
    <w:rsid w:val="007C72E0"/>
    <w:rsid w:val="007D2038"/>
    <w:rsid w:val="00800974"/>
    <w:rsid w:val="00812FA5"/>
    <w:rsid w:val="00840353"/>
    <w:rsid w:val="00867525"/>
    <w:rsid w:val="008918BA"/>
    <w:rsid w:val="008A0700"/>
    <w:rsid w:val="008B6BC9"/>
    <w:rsid w:val="0091620E"/>
    <w:rsid w:val="009213A4"/>
    <w:rsid w:val="00A20B2F"/>
    <w:rsid w:val="00A22306"/>
    <w:rsid w:val="00A45641"/>
    <w:rsid w:val="00A53E80"/>
    <w:rsid w:val="00A608EA"/>
    <w:rsid w:val="00A719A9"/>
    <w:rsid w:val="00AA7703"/>
    <w:rsid w:val="00AF2F8E"/>
    <w:rsid w:val="00B45F27"/>
    <w:rsid w:val="00B4706F"/>
    <w:rsid w:val="00B72CA7"/>
    <w:rsid w:val="00B73711"/>
    <w:rsid w:val="00BD4DCC"/>
    <w:rsid w:val="00C25F2C"/>
    <w:rsid w:val="00C31A27"/>
    <w:rsid w:val="00C44CEC"/>
    <w:rsid w:val="00D00AA4"/>
    <w:rsid w:val="00D047E2"/>
    <w:rsid w:val="00D46D41"/>
    <w:rsid w:val="00D706FF"/>
    <w:rsid w:val="00D70801"/>
    <w:rsid w:val="00E559B2"/>
    <w:rsid w:val="00F06993"/>
    <w:rsid w:val="00F43176"/>
    <w:rsid w:val="00F56A55"/>
    <w:rsid w:val="00F74B65"/>
    <w:rsid w:val="00FD7771"/>
    <w:rsid w:val="00FE0EA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10A060"/>
  <w15:docId w15:val="{7FAE7D4B-9E0C-4087-B691-2487470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0694"/>
  </w:style>
  <w:style w:type="paragraph" w:styleId="Heading1">
    <w:name w:val="heading 1"/>
    <w:basedOn w:val="Normal"/>
    <w:next w:val="Normal"/>
    <w:link w:val="Heading1Char"/>
    <w:uiPriority w:val="9"/>
    <w:qFormat/>
    <w:rsid w:val="00140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6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06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06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6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6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6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69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406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694"/>
    <w:pPr>
      <w:spacing w:after="0" w:line="240" w:lineRule="auto"/>
    </w:pPr>
  </w:style>
  <w:style w:type="paragraph" w:styleId="Title">
    <w:name w:val="Title"/>
    <w:basedOn w:val="Normal"/>
    <w:next w:val="Normal"/>
    <w:link w:val="TitleChar"/>
    <w:uiPriority w:val="10"/>
    <w:qFormat/>
    <w:rsid w:val="00140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06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406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06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06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06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06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0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0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069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406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4069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06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069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0694"/>
    <w:rPr>
      <w:b/>
      <w:bCs/>
    </w:rPr>
  </w:style>
  <w:style w:type="character" w:styleId="Emphasis">
    <w:name w:val="Emphasis"/>
    <w:basedOn w:val="DefaultParagraphFont"/>
    <w:uiPriority w:val="20"/>
    <w:qFormat/>
    <w:rsid w:val="00140694"/>
    <w:rPr>
      <w:i/>
      <w:iCs/>
    </w:rPr>
  </w:style>
  <w:style w:type="paragraph" w:styleId="Quote">
    <w:name w:val="Quote"/>
    <w:basedOn w:val="Normal"/>
    <w:next w:val="Normal"/>
    <w:link w:val="QuoteChar"/>
    <w:uiPriority w:val="29"/>
    <w:qFormat/>
    <w:rsid w:val="00140694"/>
    <w:rPr>
      <w:i/>
      <w:iCs/>
      <w:color w:val="000000" w:themeColor="text1"/>
    </w:rPr>
  </w:style>
  <w:style w:type="character" w:customStyle="1" w:styleId="QuoteChar">
    <w:name w:val="Quote Char"/>
    <w:basedOn w:val="DefaultParagraphFont"/>
    <w:link w:val="Quote"/>
    <w:uiPriority w:val="29"/>
    <w:rsid w:val="00140694"/>
    <w:rPr>
      <w:i/>
      <w:iCs/>
      <w:color w:val="000000" w:themeColor="text1"/>
    </w:rPr>
  </w:style>
  <w:style w:type="paragraph" w:styleId="IntenseQuote">
    <w:name w:val="Intense Quote"/>
    <w:basedOn w:val="Normal"/>
    <w:next w:val="Normal"/>
    <w:link w:val="IntenseQuoteChar"/>
    <w:uiPriority w:val="30"/>
    <w:qFormat/>
    <w:rsid w:val="001406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0694"/>
    <w:rPr>
      <w:b/>
      <w:bCs/>
      <w:i/>
      <w:iCs/>
      <w:color w:val="4F81BD" w:themeColor="accent1"/>
    </w:rPr>
  </w:style>
  <w:style w:type="character" w:styleId="SubtleEmphasis">
    <w:name w:val="Subtle Emphasis"/>
    <w:basedOn w:val="DefaultParagraphFont"/>
    <w:uiPriority w:val="19"/>
    <w:qFormat/>
    <w:rsid w:val="00140694"/>
    <w:rPr>
      <w:i/>
      <w:iCs/>
      <w:color w:val="808080" w:themeColor="text1" w:themeTint="7F"/>
    </w:rPr>
  </w:style>
  <w:style w:type="character" w:styleId="IntenseEmphasis">
    <w:name w:val="Intense Emphasis"/>
    <w:basedOn w:val="DefaultParagraphFont"/>
    <w:uiPriority w:val="21"/>
    <w:qFormat/>
    <w:rsid w:val="00140694"/>
    <w:rPr>
      <w:b/>
      <w:bCs/>
      <w:i/>
      <w:iCs/>
      <w:color w:val="4F81BD" w:themeColor="accent1"/>
    </w:rPr>
  </w:style>
  <w:style w:type="character" w:styleId="SubtleReference">
    <w:name w:val="Subtle Reference"/>
    <w:basedOn w:val="DefaultParagraphFont"/>
    <w:uiPriority w:val="31"/>
    <w:qFormat/>
    <w:rsid w:val="00140694"/>
    <w:rPr>
      <w:smallCaps/>
      <w:color w:val="C0504D" w:themeColor="accent2"/>
      <w:u w:val="single"/>
    </w:rPr>
  </w:style>
  <w:style w:type="character" w:styleId="IntenseReference">
    <w:name w:val="Intense Reference"/>
    <w:basedOn w:val="DefaultParagraphFont"/>
    <w:uiPriority w:val="32"/>
    <w:qFormat/>
    <w:rsid w:val="00140694"/>
    <w:rPr>
      <w:b/>
      <w:bCs/>
      <w:smallCaps/>
      <w:color w:val="C0504D" w:themeColor="accent2"/>
      <w:spacing w:val="5"/>
      <w:u w:val="single"/>
    </w:rPr>
  </w:style>
  <w:style w:type="character" w:styleId="BookTitle">
    <w:name w:val="Book Title"/>
    <w:basedOn w:val="DefaultParagraphFont"/>
    <w:uiPriority w:val="33"/>
    <w:qFormat/>
    <w:rsid w:val="00140694"/>
    <w:rPr>
      <w:b/>
      <w:bCs/>
      <w:smallCaps/>
      <w:spacing w:val="5"/>
    </w:rPr>
  </w:style>
  <w:style w:type="paragraph" w:styleId="TOCHeading">
    <w:name w:val="TOC Heading"/>
    <w:basedOn w:val="Heading1"/>
    <w:next w:val="Normal"/>
    <w:uiPriority w:val="39"/>
    <w:semiHidden/>
    <w:unhideWhenUsed/>
    <w:qFormat/>
    <w:rsid w:val="00140694"/>
    <w:pPr>
      <w:outlineLvl w:val="9"/>
    </w:pPr>
  </w:style>
  <w:style w:type="paragraph" w:styleId="ListParagraph">
    <w:name w:val="List Paragraph"/>
    <w:basedOn w:val="Normal"/>
    <w:uiPriority w:val="34"/>
    <w:qFormat/>
    <w:rsid w:val="00140694"/>
    <w:pPr>
      <w:ind w:left="720"/>
      <w:contextualSpacing/>
    </w:pPr>
  </w:style>
  <w:style w:type="character" w:styleId="CommentReference">
    <w:name w:val="annotation reference"/>
    <w:basedOn w:val="DefaultParagraphFont"/>
    <w:uiPriority w:val="99"/>
    <w:semiHidden/>
    <w:unhideWhenUsed/>
    <w:rsid w:val="00F74B65"/>
    <w:rPr>
      <w:sz w:val="16"/>
      <w:szCs w:val="16"/>
    </w:rPr>
  </w:style>
  <w:style w:type="paragraph" w:styleId="CommentText">
    <w:name w:val="annotation text"/>
    <w:basedOn w:val="Normal"/>
    <w:link w:val="CommentTextChar"/>
    <w:uiPriority w:val="99"/>
    <w:semiHidden/>
    <w:unhideWhenUsed/>
    <w:rsid w:val="00F74B6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74B65"/>
    <w:rPr>
      <w:rFonts w:eastAsiaTheme="minorHAnsi"/>
      <w:sz w:val="20"/>
      <w:szCs w:val="20"/>
    </w:rPr>
  </w:style>
  <w:style w:type="paragraph" w:styleId="BalloonText">
    <w:name w:val="Balloon Text"/>
    <w:basedOn w:val="Normal"/>
    <w:link w:val="BalloonTextChar"/>
    <w:uiPriority w:val="99"/>
    <w:semiHidden/>
    <w:unhideWhenUsed/>
    <w:rsid w:val="00F74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B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3176"/>
    <w:rPr>
      <w:rFonts w:eastAsiaTheme="minorEastAsia"/>
      <w:b/>
      <w:bCs/>
    </w:rPr>
  </w:style>
  <w:style w:type="character" w:customStyle="1" w:styleId="CommentSubjectChar">
    <w:name w:val="Comment Subject Char"/>
    <w:basedOn w:val="CommentTextChar"/>
    <w:link w:val="CommentSubject"/>
    <w:uiPriority w:val="99"/>
    <w:semiHidden/>
    <w:rsid w:val="00F43176"/>
    <w:rPr>
      <w:rFonts w:eastAsiaTheme="minorHAnsi"/>
      <w:b/>
      <w:bCs/>
      <w:sz w:val="20"/>
      <w:szCs w:val="20"/>
    </w:rPr>
  </w:style>
  <w:style w:type="paragraph" w:styleId="Header">
    <w:name w:val="header"/>
    <w:basedOn w:val="Normal"/>
    <w:link w:val="HeaderChar"/>
    <w:uiPriority w:val="99"/>
    <w:unhideWhenUsed/>
    <w:rsid w:val="004F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C8"/>
  </w:style>
  <w:style w:type="paragraph" w:styleId="Footer">
    <w:name w:val="footer"/>
    <w:basedOn w:val="Normal"/>
    <w:link w:val="FooterChar"/>
    <w:uiPriority w:val="99"/>
    <w:unhideWhenUsed/>
    <w:rsid w:val="004F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C8"/>
  </w:style>
  <w:style w:type="paragraph" w:styleId="DocumentMap">
    <w:name w:val="Document Map"/>
    <w:basedOn w:val="Normal"/>
    <w:link w:val="DocumentMapChar"/>
    <w:uiPriority w:val="99"/>
    <w:semiHidden/>
    <w:unhideWhenUsed/>
    <w:rsid w:val="0014069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40694"/>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CA56-5CD5-6A46-9DA4-AAC7CB2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917</Words>
  <Characters>5228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Hannah Koenker</cp:lastModifiedBy>
  <cp:revision>3</cp:revision>
  <cp:lastPrinted>2015-03-16T15:49:00Z</cp:lastPrinted>
  <dcterms:created xsi:type="dcterms:W3CDTF">2017-10-26T21:22:00Z</dcterms:created>
  <dcterms:modified xsi:type="dcterms:W3CDTF">2017-11-14T01:58:00Z</dcterms:modified>
</cp:coreProperties>
</file>