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ABEF3" w14:textId="77777777" w:rsidR="00706893" w:rsidRPr="00B029D9" w:rsidRDefault="00706893" w:rsidP="00706893">
      <w:pPr>
        <w:pStyle w:val="Title"/>
        <w:rPr>
          <w:lang w:val="fr-FR"/>
        </w:rPr>
      </w:pPr>
      <w:r w:rsidRPr="00B029D9">
        <w:rPr>
          <w:lang w:val="fr-FR"/>
        </w:rPr>
        <w:t>Plan de transition pour le transfert des études de surveillance de la durabilité à un partenaire d'exécution différent</w:t>
      </w:r>
    </w:p>
    <w:p w14:paraId="3D7C60D2" w14:textId="77777777" w:rsidR="00706893" w:rsidRPr="00B029D9" w:rsidRDefault="00706893" w:rsidP="00706893">
      <w:pPr>
        <w:rPr>
          <w:lang w:val="fr-FR"/>
        </w:rPr>
      </w:pPr>
    </w:p>
    <w:p w14:paraId="679B2B62" w14:textId="77777777" w:rsidR="00706893" w:rsidRDefault="00706893" w:rsidP="00706893">
      <w:pPr>
        <w:rPr>
          <w:lang w:val="fr-FR"/>
        </w:rPr>
      </w:pPr>
      <w:r w:rsidRPr="00B029D9">
        <w:rPr>
          <w:lang w:val="fr-FR"/>
        </w:rPr>
        <w:t>Le suivi de la durabilité (DM) nécessite un total d'environ 40 mois d'activité, depuis l'identification des sites de surveillance et la préparation des activités de l'IRB et de l'étude jusqu'à l'analyse et la rédaction du dernier cycle de collecte des données.</w:t>
      </w:r>
    </w:p>
    <w:p w14:paraId="46DC394D" w14:textId="77777777" w:rsidR="00EC1A12" w:rsidRPr="00B029D9" w:rsidRDefault="00EC1A12" w:rsidP="00706893">
      <w:pPr>
        <w:rPr>
          <w:lang w:val="fr-FR"/>
        </w:rPr>
      </w:pPr>
    </w:p>
    <w:p w14:paraId="098F0BA1" w14:textId="77777777" w:rsidR="00706893" w:rsidRDefault="00706893" w:rsidP="00706893">
      <w:pPr>
        <w:rPr>
          <w:lang w:val="fr-FR"/>
        </w:rPr>
      </w:pPr>
      <w:r w:rsidRPr="00B029D9">
        <w:rPr>
          <w:lang w:val="fr-FR"/>
        </w:rPr>
        <w:t>Compte tenu de la période de 40 mois, les activités de DM peuvent se dérouler entre les dates de fin des projets bilatéraux ou mondiaux, selon le moment où elles sont initiées par rapport à la durée de vie du projet. Lorsque cela est le cas, une planification précoce est nécessaire pour assurer une transition efficace et en douceur des activités d'un partenaire d'exécution à un autre.</w:t>
      </w:r>
    </w:p>
    <w:p w14:paraId="4FBDCBFF" w14:textId="77777777" w:rsidR="00EC1A12" w:rsidRPr="00B029D9" w:rsidRDefault="00EC1A12" w:rsidP="00706893">
      <w:pPr>
        <w:rPr>
          <w:lang w:val="fr-FR"/>
        </w:rPr>
      </w:pPr>
    </w:p>
    <w:p w14:paraId="3F47CB6E" w14:textId="7BB16778" w:rsidR="00706893" w:rsidRDefault="00706893" w:rsidP="00706893">
      <w:pPr>
        <w:rPr>
          <w:lang w:val="fr-FR"/>
        </w:rPr>
      </w:pPr>
      <w:r w:rsidRPr="00B029D9">
        <w:rPr>
          <w:lang w:val="fr-FR"/>
        </w:rPr>
        <w:t>Dans le tableau 1, nous illustrons un cas où la date de fin de projet d'un projet est le 30 septembre 2019. Étant donné que les trois derniers mois des projets bilatéraux et mondiaux sont généralement des périodes où les activités sont arrêtées pour conclure les ra</w:t>
      </w:r>
      <w:r w:rsidR="00EC1A12">
        <w:rPr>
          <w:lang w:val="fr-FR"/>
        </w:rPr>
        <w:t>pports financiers et techniques</w:t>
      </w:r>
      <w:r w:rsidRPr="00B029D9">
        <w:rPr>
          <w:lang w:val="fr-FR"/>
        </w:rPr>
        <w:t>, Le timing «</w:t>
      </w:r>
      <w:r w:rsidR="00EC1A12">
        <w:rPr>
          <w:lang w:val="fr-FR"/>
        </w:rPr>
        <w:t xml:space="preserve"> </w:t>
      </w:r>
      <w:r w:rsidRPr="00B029D9">
        <w:rPr>
          <w:lang w:val="fr-FR"/>
        </w:rPr>
        <w:t>dernier cas idéal</w:t>
      </w:r>
      <w:r w:rsidR="00EC1A12">
        <w:rPr>
          <w:lang w:val="fr-FR"/>
        </w:rPr>
        <w:t xml:space="preserve"> </w:t>
      </w:r>
      <w:r w:rsidRPr="00B029D9">
        <w:rPr>
          <w:lang w:val="fr-FR"/>
        </w:rPr>
        <w:t>» et le «</w:t>
      </w:r>
      <w:r w:rsidR="00EC1A12">
        <w:rPr>
          <w:lang w:val="fr-FR"/>
        </w:rPr>
        <w:t xml:space="preserve"> </w:t>
      </w:r>
      <w:r w:rsidRPr="00B029D9">
        <w:rPr>
          <w:lang w:val="fr-FR"/>
        </w:rPr>
        <w:t>pire des cas</w:t>
      </w:r>
      <w:r w:rsidR="00E43E32">
        <w:rPr>
          <w:lang w:val="fr-FR"/>
        </w:rPr>
        <w:t xml:space="preserve"> </w:t>
      </w:r>
      <w:r w:rsidRPr="00B029D9">
        <w:rPr>
          <w:lang w:val="fr-FR"/>
        </w:rPr>
        <w:t>» sont présentés.</w:t>
      </w:r>
    </w:p>
    <w:p w14:paraId="405413FA" w14:textId="77777777" w:rsidR="00EC1A12" w:rsidRPr="00B029D9" w:rsidRDefault="00EC1A12" w:rsidP="00706893">
      <w:pPr>
        <w:rPr>
          <w:lang w:val="fr-FR"/>
        </w:rPr>
      </w:pPr>
    </w:p>
    <w:p w14:paraId="748F2F90" w14:textId="77777777" w:rsidR="00706893" w:rsidRPr="00B029D9" w:rsidRDefault="00706893" w:rsidP="00706893">
      <w:pPr>
        <w:pStyle w:val="Caption"/>
        <w:keepNext/>
        <w:rPr>
          <w:lang w:val="fr-FR"/>
        </w:rPr>
      </w:pPr>
      <w:r w:rsidRPr="00B029D9">
        <w:rPr>
          <w:lang w:val="fr-FR"/>
        </w:rPr>
        <w:t xml:space="preserve">Table </w:t>
      </w:r>
      <w:r w:rsidRPr="00B029D9">
        <w:rPr>
          <w:lang w:val="fr-FR"/>
        </w:rPr>
        <w:fldChar w:fldCharType="begin"/>
      </w:r>
      <w:r w:rsidRPr="00B029D9">
        <w:rPr>
          <w:lang w:val="fr-FR"/>
        </w:rPr>
        <w:instrText xml:space="preserve"> SEQ Table \* ARABIC </w:instrText>
      </w:r>
      <w:r w:rsidRPr="00B029D9">
        <w:rPr>
          <w:lang w:val="fr-FR"/>
        </w:rPr>
        <w:fldChar w:fldCharType="separate"/>
      </w:r>
      <w:r w:rsidRPr="00B029D9">
        <w:rPr>
          <w:lang w:val="fr-FR"/>
        </w:rPr>
        <w:t>1</w:t>
      </w:r>
      <w:r w:rsidRPr="00B029D9">
        <w:rPr>
          <w:lang w:val="fr-FR"/>
        </w:rPr>
        <w:fldChar w:fldCharType="end"/>
      </w:r>
      <w:r w:rsidRPr="00B029D9">
        <w:rPr>
          <w:lang w:val="fr-FR"/>
        </w:rPr>
        <w:t xml:space="preserve">: </w:t>
      </w:r>
      <w:r w:rsidR="00EC1A12" w:rsidRPr="00EC1A12">
        <w:rPr>
          <w:lang w:val="fr-FR"/>
        </w:rPr>
        <w:t>Exemple de calendrier pour pouvoir effectuer un suivi co</w:t>
      </w:r>
      <w:r w:rsidR="00EC1A12">
        <w:rPr>
          <w:lang w:val="fr-FR"/>
        </w:rPr>
        <w:t xml:space="preserve">mplet de la durabilité avant la fin du </w:t>
      </w:r>
      <w:r w:rsidR="00EC1A12" w:rsidRPr="00EC1A12">
        <w:rPr>
          <w:lang w:val="fr-FR"/>
        </w:rPr>
        <w:t>P</w:t>
      </w:r>
      <w:r w:rsidR="00EC1A12">
        <w:rPr>
          <w:lang w:val="fr-FR"/>
        </w:rPr>
        <w:t>rojet</w:t>
      </w:r>
    </w:p>
    <w:tbl>
      <w:tblPr>
        <w:tblStyle w:val="TableGrid"/>
        <w:tblW w:w="0" w:type="auto"/>
        <w:tblLook w:val="04A0" w:firstRow="1" w:lastRow="0" w:firstColumn="1" w:lastColumn="0" w:noHBand="0" w:noVBand="1"/>
      </w:tblPr>
      <w:tblGrid>
        <w:gridCol w:w="3116"/>
        <w:gridCol w:w="3117"/>
        <w:gridCol w:w="3117"/>
      </w:tblGrid>
      <w:tr w:rsidR="00706893" w:rsidRPr="00B029D9" w14:paraId="1AF7B69A" w14:textId="77777777" w:rsidTr="0043721D">
        <w:trPr>
          <w:trHeight w:val="296"/>
        </w:trPr>
        <w:tc>
          <w:tcPr>
            <w:tcW w:w="3116" w:type="dxa"/>
          </w:tcPr>
          <w:p w14:paraId="3420AE09" w14:textId="77777777" w:rsidR="00706893" w:rsidRPr="00B029D9" w:rsidRDefault="00EC1A12" w:rsidP="0043721D">
            <w:pPr>
              <w:rPr>
                <w:b/>
                <w:lang w:val="fr-FR"/>
              </w:rPr>
            </w:pPr>
            <w:r>
              <w:rPr>
                <w:b/>
                <w:lang w:val="fr-FR"/>
              </w:rPr>
              <w:t>Activité</w:t>
            </w:r>
          </w:p>
        </w:tc>
        <w:tc>
          <w:tcPr>
            <w:tcW w:w="3117" w:type="dxa"/>
          </w:tcPr>
          <w:p w14:paraId="64C15986" w14:textId="77E3FF4B" w:rsidR="00706893" w:rsidRPr="00B029D9" w:rsidRDefault="00EC1A12" w:rsidP="0043721D">
            <w:pPr>
              <w:rPr>
                <w:b/>
                <w:lang w:val="fr-FR"/>
              </w:rPr>
            </w:pPr>
            <w:r>
              <w:rPr>
                <w:b/>
                <w:lang w:val="fr-FR"/>
              </w:rPr>
              <w:t xml:space="preserve">Dernier cas </w:t>
            </w:r>
            <w:r w:rsidR="00E43E32">
              <w:rPr>
                <w:b/>
                <w:lang w:val="fr-FR"/>
              </w:rPr>
              <w:t>idéal</w:t>
            </w:r>
          </w:p>
        </w:tc>
        <w:tc>
          <w:tcPr>
            <w:tcW w:w="3117" w:type="dxa"/>
          </w:tcPr>
          <w:p w14:paraId="689443BE" w14:textId="77777777" w:rsidR="00706893" w:rsidRPr="00B029D9" w:rsidRDefault="00EC1A12" w:rsidP="00EC1A12">
            <w:pPr>
              <w:rPr>
                <w:b/>
                <w:lang w:val="fr-FR"/>
              </w:rPr>
            </w:pPr>
            <w:r>
              <w:rPr>
                <w:b/>
                <w:lang w:val="fr-FR"/>
              </w:rPr>
              <w:t>Pire des cas</w:t>
            </w:r>
          </w:p>
        </w:tc>
      </w:tr>
      <w:tr w:rsidR="00706893" w:rsidRPr="00B029D9" w14:paraId="12CCEBDB" w14:textId="77777777" w:rsidTr="0043721D">
        <w:tc>
          <w:tcPr>
            <w:tcW w:w="3116" w:type="dxa"/>
          </w:tcPr>
          <w:p w14:paraId="2C24FEF9" w14:textId="77777777" w:rsidR="00706893" w:rsidRPr="00B029D9" w:rsidRDefault="00EC1A12" w:rsidP="0043721D">
            <w:pPr>
              <w:rPr>
                <w:lang w:val="fr-FR"/>
              </w:rPr>
            </w:pPr>
            <w:r>
              <w:rPr>
                <w:lang w:val="fr-FR"/>
              </w:rPr>
              <w:t>Distribution (campagne)</w:t>
            </w:r>
          </w:p>
        </w:tc>
        <w:tc>
          <w:tcPr>
            <w:tcW w:w="3117" w:type="dxa"/>
          </w:tcPr>
          <w:p w14:paraId="225665CF" w14:textId="6C98261D" w:rsidR="00706893" w:rsidRPr="00B029D9" w:rsidRDefault="00E43E32" w:rsidP="0043721D">
            <w:pPr>
              <w:rPr>
                <w:lang w:val="fr-FR"/>
              </w:rPr>
            </w:pPr>
            <w:r>
              <w:rPr>
                <w:lang w:val="fr-FR"/>
              </w:rPr>
              <w:t>Avril</w:t>
            </w:r>
            <w:r w:rsidR="00706893" w:rsidRPr="00B029D9">
              <w:rPr>
                <w:lang w:val="fr-FR"/>
              </w:rPr>
              <w:t xml:space="preserve"> 2016</w:t>
            </w:r>
          </w:p>
        </w:tc>
        <w:tc>
          <w:tcPr>
            <w:tcW w:w="3117" w:type="dxa"/>
          </w:tcPr>
          <w:p w14:paraId="678C7762" w14:textId="7BD036C9" w:rsidR="00706893" w:rsidRPr="00B029D9" w:rsidRDefault="00E43E32" w:rsidP="0043721D">
            <w:pPr>
              <w:rPr>
                <w:lang w:val="fr-FR"/>
              </w:rPr>
            </w:pPr>
            <w:r>
              <w:rPr>
                <w:lang w:val="fr-FR"/>
              </w:rPr>
              <w:t>Juin</w:t>
            </w:r>
            <w:r w:rsidR="00706893" w:rsidRPr="00B029D9">
              <w:rPr>
                <w:lang w:val="fr-FR"/>
              </w:rPr>
              <w:t xml:space="preserve"> 2017</w:t>
            </w:r>
          </w:p>
        </w:tc>
      </w:tr>
      <w:tr w:rsidR="00706893" w:rsidRPr="00B029D9" w14:paraId="59A4AA0B" w14:textId="77777777" w:rsidTr="0043721D">
        <w:tc>
          <w:tcPr>
            <w:tcW w:w="3116" w:type="dxa"/>
          </w:tcPr>
          <w:p w14:paraId="5A80F0B2" w14:textId="77777777" w:rsidR="00706893" w:rsidRPr="00B029D9" w:rsidRDefault="00706893" w:rsidP="00EC1A12">
            <w:pPr>
              <w:rPr>
                <w:lang w:val="fr-FR"/>
              </w:rPr>
            </w:pPr>
            <w:r w:rsidRPr="00B029D9">
              <w:rPr>
                <w:lang w:val="fr-FR"/>
              </w:rPr>
              <w:t xml:space="preserve">Baseline </w:t>
            </w:r>
            <w:r w:rsidR="00EC1A12">
              <w:rPr>
                <w:lang w:val="fr-FR"/>
              </w:rPr>
              <w:t>collecte des données</w:t>
            </w:r>
          </w:p>
        </w:tc>
        <w:tc>
          <w:tcPr>
            <w:tcW w:w="3117" w:type="dxa"/>
          </w:tcPr>
          <w:p w14:paraId="1F9EC916" w14:textId="3CF69E0C" w:rsidR="00706893" w:rsidRPr="00B029D9" w:rsidRDefault="00E43E32" w:rsidP="00E43E32">
            <w:pPr>
              <w:rPr>
                <w:lang w:val="fr-FR"/>
              </w:rPr>
            </w:pPr>
            <w:r>
              <w:rPr>
                <w:lang w:val="fr-FR"/>
              </w:rPr>
              <w:t>Oct</w:t>
            </w:r>
            <w:r w:rsidR="00706893" w:rsidRPr="00B029D9">
              <w:rPr>
                <w:lang w:val="fr-FR"/>
              </w:rPr>
              <w:t xml:space="preserve"> 2016</w:t>
            </w:r>
          </w:p>
        </w:tc>
        <w:tc>
          <w:tcPr>
            <w:tcW w:w="3117" w:type="dxa"/>
          </w:tcPr>
          <w:p w14:paraId="29952477" w14:textId="77777777" w:rsidR="00706893" w:rsidRPr="00B029D9" w:rsidRDefault="00706893" w:rsidP="0043721D">
            <w:pPr>
              <w:rPr>
                <w:lang w:val="fr-FR"/>
              </w:rPr>
            </w:pPr>
            <w:r w:rsidRPr="00B029D9">
              <w:rPr>
                <w:lang w:val="fr-FR"/>
              </w:rPr>
              <w:t>Dec 2016</w:t>
            </w:r>
          </w:p>
        </w:tc>
      </w:tr>
      <w:tr w:rsidR="00706893" w:rsidRPr="00B029D9" w14:paraId="0FBAD127" w14:textId="77777777" w:rsidTr="0043721D">
        <w:tc>
          <w:tcPr>
            <w:tcW w:w="3116" w:type="dxa"/>
          </w:tcPr>
          <w:p w14:paraId="1D1C4668" w14:textId="77777777" w:rsidR="00706893" w:rsidRPr="00B029D9" w:rsidRDefault="00706893" w:rsidP="0043721D">
            <w:pPr>
              <w:rPr>
                <w:lang w:val="fr-FR"/>
              </w:rPr>
            </w:pPr>
            <w:r w:rsidRPr="00B029D9">
              <w:rPr>
                <w:lang w:val="fr-FR"/>
              </w:rPr>
              <w:t xml:space="preserve">12M </w:t>
            </w:r>
            <w:r w:rsidR="00EC1A12">
              <w:rPr>
                <w:lang w:val="fr-FR"/>
              </w:rPr>
              <w:t>collecte des données</w:t>
            </w:r>
          </w:p>
        </w:tc>
        <w:tc>
          <w:tcPr>
            <w:tcW w:w="3117" w:type="dxa"/>
          </w:tcPr>
          <w:p w14:paraId="60C5D886" w14:textId="60DADEAB" w:rsidR="00706893" w:rsidRPr="00B029D9" w:rsidRDefault="00E43E32" w:rsidP="0043721D">
            <w:pPr>
              <w:rPr>
                <w:lang w:val="fr-FR"/>
              </w:rPr>
            </w:pPr>
            <w:r>
              <w:rPr>
                <w:lang w:val="fr-FR"/>
              </w:rPr>
              <w:t>Avril</w:t>
            </w:r>
            <w:r w:rsidRPr="00B029D9">
              <w:rPr>
                <w:lang w:val="fr-FR"/>
              </w:rPr>
              <w:t xml:space="preserve"> </w:t>
            </w:r>
            <w:r w:rsidR="00706893" w:rsidRPr="00B029D9">
              <w:rPr>
                <w:lang w:val="fr-FR"/>
              </w:rPr>
              <w:t>2017</w:t>
            </w:r>
          </w:p>
        </w:tc>
        <w:tc>
          <w:tcPr>
            <w:tcW w:w="3117" w:type="dxa"/>
          </w:tcPr>
          <w:p w14:paraId="2110773B" w14:textId="3598D5EB" w:rsidR="00706893" w:rsidRPr="00B029D9" w:rsidRDefault="00E43E32" w:rsidP="0043721D">
            <w:pPr>
              <w:rPr>
                <w:lang w:val="fr-FR"/>
              </w:rPr>
            </w:pPr>
            <w:r>
              <w:rPr>
                <w:lang w:val="fr-FR"/>
              </w:rPr>
              <w:t>Juin</w:t>
            </w:r>
            <w:r w:rsidRPr="00B029D9">
              <w:rPr>
                <w:lang w:val="fr-FR"/>
              </w:rPr>
              <w:t xml:space="preserve"> </w:t>
            </w:r>
            <w:r w:rsidR="00706893" w:rsidRPr="00B029D9">
              <w:rPr>
                <w:lang w:val="fr-FR"/>
              </w:rPr>
              <w:t>2017</w:t>
            </w:r>
          </w:p>
        </w:tc>
      </w:tr>
      <w:tr w:rsidR="00706893" w:rsidRPr="00B029D9" w14:paraId="094ED246" w14:textId="77777777" w:rsidTr="0043721D">
        <w:tc>
          <w:tcPr>
            <w:tcW w:w="3116" w:type="dxa"/>
          </w:tcPr>
          <w:p w14:paraId="0CF679EC" w14:textId="77777777" w:rsidR="00706893" w:rsidRPr="00B029D9" w:rsidRDefault="00706893" w:rsidP="0043721D">
            <w:pPr>
              <w:rPr>
                <w:lang w:val="fr-FR"/>
              </w:rPr>
            </w:pPr>
            <w:r w:rsidRPr="00B029D9">
              <w:rPr>
                <w:lang w:val="fr-FR"/>
              </w:rPr>
              <w:t xml:space="preserve">24M </w:t>
            </w:r>
            <w:r w:rsidR="00EC1A12">
              <w:rPr>
                <w:lang w:val="fr-FR"/>
              </w:rPr>
              <w:t>collecte des données</w:t>
            </w:r>
          </w:p>
        </w:tc>
        <w:tc>
          <w:tcPr>
            <w:tcW w:w="3117" w:type="dxa"/>
          </w:tcPr>
          <w:p w14:paraId="66B0016A" w14:textId="72168F94" w:rsidR="00706893" w:rsidRPr="00B029D9" w:rsidRDefault="00E43E32" w:rsidP="0043721D">
            <w:pPr>
              <w:rPr>
                <w:lang w:val="fr-FR"/>
              </w:rPr>
            </w:pPr>
            <w:r>
              <w:rPr>
                <w:lang w:val="fr-FR"/>
              </w:rPr>
              <w:t>Avril</w:t>
            </w:r>
            <w:r w:rsidRPr="00B029D9">
              <w:rPr>
                <w:lang w:val="fr-FR"/>
              </w:rPr>
              <w:t xml:space="preserve"> </w:t>
            </w:r>
            <w:r w:rsidR="00706893" w:rsidRPr="00B029D9">
              <w:rPr>
                <w:lang w:val="fr-FR"/>
              </w:rPr>
              <w:t>2018</w:t>
            </w:r>
          </w:p>
        </w:tc>
        <w:tc>
          <w:tcPr>
            <w:tcW w:w="3117" w:type="dxa"/>
          </w:tcPr>
          <w:p w14:paraId="09331F92" w14:textId="73EC8C4D" w:rsidR="00706893" w:rsidRPr="00B029D9" w:rsidRDefault="00E43E32" w:rsidP="0043721D">
            <w:pPr>
              <w:rPr>
                <w:lang w:val="fr-FR"/>
              </w:rPr>
            </w:pPr>
            <w:r>
              <w:rPr>
                <w:lang w:val="fr-FR"/>
              </w:rPr>
              <w:t>Juin</w:t>
            </w:r>
            <w:r w:rsidRPr="00B029D9">
              <w:rPr>
                <w:lang w:val="fr-FR"/>
              </w:rPr>
              <w:t xml:space="preserve"> </w:t>
            </w:r>
            <w:r w:rsidR="00706893" w:rsidRPr="00B029D9">
              <w:rPr>
                <w:lang w:val="fr-FR"/>
              </w:rPr>
              <w:t>2018</w:t>
            </w:r>
          </w:p>
        </w:tc>
      </w:tr>
      <w:tr w:rsidR="00706893" w:rsidRPr="00B029D9" w14:paraId="34ED79A2" w14:textId="77777777" w:rsidTr="0043721D">
        <w:tc>
          <w:tcPr>
            <w:tcW w:w="3116" w:type="dxa"/>
          </w:tcPr>
          <w:p w14:paraId="2FE57DAE" w14:textId="77777777" w:rsidR="00706893" w:rsidRPr="00B029D9" w:rsidRDefault="00706893" w:rsidP="0043721D">
            <w:pPr>
              <w:rPr>
                <w:lang w:val="fr-FR"/>
              </w:rPr>
            </w:pPr>
            <w:r w:rsidRPr="00B029D9">
              <w:rPr>
                <w:lang w:val="fr-FR"/>
              </w:rPr>
              <w:t xml:space="preserve">36M </w:t>
            </w:r>
            <w:r w:rsidR="00EC1A12">
              <w:rPr>
                <w:lang w:val="fr-FR"/>
              </w:rPr>
              <w:t>collecte des données</w:t>
            </w:r>
          </w:p>
        </w:tc>
        <w:tc>
          <w:tcPr>
            <w:tcW w:w="3117" w:type="dxa"/>
          </w:tcPr>
          <w:p w14:paraId="1213432C" w14:textId="1BA2FF43" w:rsidR="00706893" w:rsidRPr="00B029D9" w:rsidRDefault="00E43E32" w:rsidP="0043721D">
            <w:pPr>
              <w:rPr>
                <w:lang w:val="fr-FR"/>
              </w:rPr>
            </w:pPr>
            <w:r>
              <w:rPr>
                <w:lang w:val="fr-FR"/>
              </w:rPr>
              <w:t>Avril</w:t>
            </w:r>
            <w:r w:rsidRPr="00B029D9">
              <w:rPr>
                <w:lang w:val="fr-FR"/>
              </w:rPr>
              <w:t xml:space="preserve"> </w:t>
            </w:r>
            <w:r w:rsidR="00706893" w:rsidRPr="00B029D9">
              <w:rPr>
                <w:lang w:val="fr-FR"/>
              </w:rPr>
              <w:t>2019</w:t>
            </w:r>
          </w:p>
        </w:tc>
        <w:tc>
          <w:tcPr>
            <w:tcW w:w="3117" w:type="dxa"/>
          </w:tcPr>
          <w:p w14:paraId="0804A2FD" w14:textId="34A391AE" w:rsidR="00706893" w:rsidRPr="00B029D9" w:rsidRDefault="00E43E32" w:rsidP="0043721D">
            <w:pPr>
              <w:rPr>
                <w:lang w:val="fr-FR"/>
              </w:rPr>
            </w:pPr>
            <w:r>
              <w:rPr>
                <w:lang w:val="fr-FR"/>
              </w:rPr>
              <w:t>Juin</w:t>
            </w:r>
            <w:r w:rsidRPr="00B029D9">
              <w:rPr>
                <w:lang w:val="fr-FR"/>
              </w:rPr>
              <w:t xml:space="preserve"> </w:t>
            </w:r>
            <w:r w:rsidR="00706893" w:rsidRPr="00B029D9">
              <w:rPr>
                <w:lang w:val="fr-FR"/>
              </w:rPr>
              <w:t>2019</w:t>
            </w:r>
          </w:p>
        </w:tc>
      </w:tr>
      <w:tr w:rsidR="00706893" w:rsidRPr="00B029D9" w14:paraId="0DF4D898" w14:textId="77777777" w:rsidTr="0043721D">
        <w:tc>
          <w:tcPr>
            <w:tcW w:w="3116" w:type="dxa"/>
          </w:tcPr>
          <w:p w14:paraId="15601EC3" w14:textId="19FF7C42" w:rsidR="00706893" w:rsidRPr="00B029D9" w:rsidRDefault="005761D0" w:rsidP="0043721D">
            <w:pPr>
              <w:rPr>
                <w:lang w:val="fr-FR"/>
              </w:rPr>
            </w:pPr>
            <w:r>
              <w:rPr>
                <w:lang w:val="fr-FR"/>
              </w:rPr>
              <w:t>Fermeture</w:t>
            </w:r>
            <w:r w:rsidR="00EC1A12" w:rsidRPr="00EC1A12">
              <w:rPr>
                <w:lang w:val="fr-FR"/>
              </w:rPr>
              <w:t xml:space="preserve"> / Rapports</w:t>
            </w:r>
          </w:p>
        </w:tc>
        <w:tc>
          <w:tcPr>
            <w:tcW w:w="3117" w:type="dxa"/>
          </w:tcPr>
          <w:p w14:paraId="2388C954" w14:textId="77777777" w:rsidR="00706893" w:rsidRPr="00B029D9" w:rsidRDefault="00EC1A12" w:rsidP="0043721D">
            <w:pPr>
              <w:rPr>
                <w:lang w:val="fr-FR"/>
              </w:rPr>
            </w:pPr>
            <w:r>
              <w:rPr>
                <w:lang w:val="fr-FR"/>
              </w:rPr>
              <w:t>Avant</w:t>
            </w:r>
            <w:r w:rsidR="00706893" w:rsidRPr="00B029D9">
              <w:rPr>
                <w:lang w:val="fr-FR"/>
              </w:rPr>
              <w:t xml:space="preserve"> Sept 2019</w:t>
            </w:r>
          </w:p>
        </w:tc>
        <w:tc>
          <w:tcPr>
            <w:tcW w:w="3117" w:type="dxa"/>
          </w:tcPr>
          <w:p w14:paraId="51A04E9E" w14:textId="77777777" w:rsidR="00706893" w:rsidRPr="00B029D9" w:rsidRDefault="00EC1A12" w:rsidP="0043721D">
            <w:pPr>
              <w:rPr>
                <w:lang w:val="fr-FR"/>
              </w:rPr>
            </w:pPr>
            <w:r>
              <w:rPr>
                <w:lang w:val="fr-FR"/>
              </w:rPr>
              <w:t>Avant</w:t>
            </w:r>
            <w:r w:rsidR="00706893" w:rsidRPr="00B029D9">
              <w:rPr>
                <w:lang w:val="fr-FR"/>
              </w:rPr>
              <w:t xml:space="preserve"> Sept 2019</w:t>
            </w:r>
          </w:p>
        </w:tc>
      </w:tr>
    </w:tbl>
    <w:p w14:paraId="052606DB" w14:textId="77777777" w:rsidR="00706893" w:rsidRPr="00B029D9" w:rsidRDefault="00706893" w:rsidP="00706893">
      <w:pPr>
        <w:rPr>
          <w:lang w:val="fr-FR"/>
        </w:rPr>
      </w:pPr>
    </w:p>
    <w:p w14:paraId="1EE1A58D" w14:textId="77777777" w:rsidR="00706893" w:rsidRPr="00B029D9" w:rsidRDefault="00706893" w:rsidP="00706893">
      <w:pPr>
        <w:rPr>
          <w:lang w:val="fr-FR"/>
        </w:rPr>
      </w:pPr>
      <w:r w:rsidRPr="00B029D9">
        <w:rPr>
          <w:lang w:val="fr-FR"/>
        </w:rPr>
        <w:t>Comme le renforcement des capacités de l'organisation locale fait partie intégrante de l'activité DM, y compris la planification du travail sur le terrain et l'analyse des données, il est possible, si le financement n'est pas interrompu, d'effectuer le travail de terrain 36M.</w:t>
      </w:r>
    </w:p>
    <w:p w14:paraId="5198C938" w14:textId="77777777" w:rsidR="00706893" w:rsidRDefault="00706893" w:rsidP="00706893">
      <w:pPr>
        <w:rPr>
          <w:lang w:val="fr-FR"/>
        </w:rPr>
      </w:pPr>
      <w:r w:rsidRPr="00B029D9">
        <w:rPr>
          <w:lang w:val="fr-FR"/>
        </w:rPr>
        <w:t>Pour plus de clarté, la terminologie suivante sera utilisée pour décrire chaque acteur dans les activités de DM</w:t>
      </w:r>
      <w:r w:rsidR="00EC1A12">
        <w:rPr>
          <w:lang w:val="fr-FR"/>
        </w:rPr>
        <w:t xml:space="preserve"> </w:t>
      </w:r>
      <w:r w:rsidRPr="00B029D9">
        <w:rPr>
          <w:lang w:val="fr-FR"/>
        </w:rPr>
        <w:t>:</w:t>
      </w:r>
    </w:p>
    <w:p w14:paraId="6D6C4F9E" w14:textId="77777777" w:rsidR="00EC1A12" w:rsidRPr="00B029D9" w:rsidRDefault="00EC1A12" w:rsidP="00706893">
      <w:pPr>
        <w:rPr>
          <w:lang w:val="fr-FR"/>
        </w:rPr>
      </w:pPr>
    </w:p>
    <w:tbl>
      <w:tblPr>
        <w:tblStyle w:val="TableGrid"/>
        <w:tblW w:w="0" w:type="auto"/>
        <w:tblLook w:val="04A0" w:firstRow="1" w:lastRow="0" w:firstColumn="1" w:lastColumn="0" w:noHBand="0" w:noVBand="1"/>
      </w:tblPr>
      <w:tblGrid>
        <w:gridCol w:w="4675"/>
        <w:gridCol w:w="4675"/>
      </w:tblGrid>
      <w:tr w:rsidR="00706893" w:rsidRPr="00B029D9" w14:paraId="45004541" w14:textId="77777777" w:rsidTr="0043721D">
        <w:tc>
          <w:tcPr>
            <w:tcW w:w="4675" w:type="dxa"/>
          </w:tcPr>
          <w:p w14:paraId="6F375E47" w14:textId="77777777" w:rsidR="00706893" w:rsidRPr="00B029D9" w:rsidRDefault="00EC1A12" w:rsidP="0043721D">
            <w:pPr>
              <w:rPr>
                <w:b/>
                <w:lang w:val="fr-FR"/>
              </w:rPr>
            </w:pPr>
            <w:r w:rsidRPr="00EC1A12">
              <w:rPr>
                <w:b/>
                <w:lang w:val="fr-FR"/>
              </w:rPr>
              <w:t>Financement / flux administratif</w:t>
            </w:r>
          </w:p>
        </w:tc>
        <w:tc>
          <w:tcPr>
            <w:tcW w:w="4675" w:type="dxa"/>
          </w:tcPr>
          <w:p w14:paraId="3A28A9A0" w14:textId="77777777" w:rsidR="00706893" w:rsidRPr="00B029D9" w:rsidRDefault="00EC1A12" w:rsidP="0043721D">
            <w:pPr>
              <w:rPr>
                <w:b/>
                <w:lang w:val="fr-FR"/>
              </w:rPr>
            </w:pPr>
            <w:r w:rsidRPr="00B029D9">
              <w:rPr>
                <w:b/>
                <w:lang w:val="fr-FR"/>
              </w:rPr>
              <w:t>Responsabilité</w:t>
            </w:r>
            <w:r w:rsidR="00706893" w:rsidRPr="00B029D9">
              <w:rPr>
                <w:b/>
                <w:lang w:val="fr-FR"/>
              </w:rPr>
              <w:t>/</w:t>
            </w:r>
            <w:r w:rsidRPr="00B029D9">
              <w:rPr>
                <w:b/>
                <w:lang w:val="fr-FR"/>
              </w:rPr>
              <w:t>Rôle</w:t>
            </w:r>
          </w:p>
        </w:tc>
      </w:tr>
      <w:tr w:rsidR="00706893" w:rsidRPr="00B029D9" w14:paraId="0027B1AF" w14:textId="77777777" w:rsidTr="0043721D">
        <w:tc>
          <w:tcPr>
            <w:tcW w:w="4675" w:type="dxa"/>
          </w:tcPr>
          <w:p w14:paraId="366D9832" w14:textId="77777777" w:rsidR="00706893" w:rsidRPr="00B029D9" w:rsidRDefault="00706893" w:rsidP="0043721D">
            <w:pPr>
              <w:rPr>
                <w:lang w:val="fr-FR"/>
              </w:rPr>
            </w:pPr>
            <w:r w:rsidRPr="00B029D9">
              <w:rPr>
                <w:lang w:val="fr-FR"/>
              </w:rPr>
              <w:t>USAID</w:t>
            </w:r>
          </w:p>
        </w:tc>
        <w:tc>
          <w:tcPr>
            <w:tcW w:w="4675" w:type="dxa"/>
          </w:tcPr>
          <w:p w14:paraId="257477E1" w14:textId="77777777" w:rsidR="00706893" w:rsidRPr="00B029D9" w:rsidRDefault="00B029D9" w:rsidP="0043721D">
            <w:pPr>
              <w:rPr>
                <w:lang w:val="fr-FR"/>
              </w:rPr>
            </w:pPr>
            <w:r>
              <w:rPr>
                <w:lang w:val="fr-FR"/>
              </w:rPr>
              <w:t>Bailleur</w:t>
            </w:r>
          </w:p>
        </w:tc>
      </w:tr>
      <w:tr w:rsidR="00706893" w:rsidRPr="00B029D9" w14:paraId="5CBF7010" w14:textId="77777777" w:rsidTr="0043721D">
        <w:tc>
          <w:tcPr>
            <w:tcW w:w="4675" w:type="dxa"/>
          </w:tcPr>
          <w:p w14:paraId="0DD829DE" w14:textId="77777777" w:rsidR="00706893" w:rsidRPr="00B029D9" w:rsidRDefault="00B029D9" w:rsidP="0043721D">
            <w:pPr>
              <w:rPr>
                <w:lang w:val="fr-FR"/>
              </w:rPr>
            </w:pPr>
            <w:r w:rsidRPr="00B029D9">
              <w:rPr>
                <w:lang w:val="fr-FR"/>
              </w:rPr>
              <w:t>Récipiendaire / entrepreneur</w:t>
            </w:r>
          </w:p>
        </w:tc>
        <w:tc>
          <w:tcPr>
            <w:tcW w:w="4675" w:type="dxa"/>
          </w:tcPr>
          <w:p w14:paraId="38CAF255" w14:textId="77777777" w:rsidR="00706893" w:rsidRPr="00B029D9" w:rsidRDefault="00EC1A12" w:rsidP="0043721D">
            <w:pPr>
              <w:rPr>
                <w:lang w:val="fr-FR"/>
              </w:rPr>
            </w:pPr>
            <w:r w:rsidRPr="00EC1A12">
              <w:rPr>
                <w:lang w:val="fr-FR"/>
              </w:rPr>
              <w:t>Responsable de la mise en œuvre dans le cadre du mécanisme attribué par l'USAID</w:t>
            </w:r>
          </w:p>
        </w:tc>
      </w:tr>
      <w:tr w:rsidR="00706893" w:rsidRPr="00B029D9" w14:paraId="18B3789B" w14:textId="77777777" w:rsidTr="0043721D">
        <w:tc>
          <w:tcPr>
            <w:tcW w:w="4675" w:type="dxa"/>
          </w:tcPr>
          <w:p w14:paraId="373B0947" w14:textId="77777777" w:rsidR="00706893" w:rsidRPr="00B029D9" w:rsidRDefault="00B029D9" w:rsidP="0043721D">
            <w:pPr>
              <w:rPr>
                <w:lang w:val="fr-FR"/>
              </w:rPr>
            </w:pPr>
            <w:r w:rsidRPr="00B029D9">
              <w:rPr>
                <w:lang w:val="fr-FR"/>
              </w:rPr>
              <w:t>Sous-récipiendaire / sous-traitant</w:t>
            </w:r>
          </w:p>
        </w:tc>
        <w:tc>
          <w:tcPr>
            <w:tcW w:w="4675" w:type="dxa"/>
          </w:tcPr>
          <w:p w14:paraId="6EDFBF1C" w14:textId="77777777" w:rsidR="00706893" w:rsidRPr="00B029D9" w:rsidRDefault="00EC1A12" w:rsidP="0043721D">
            <w:pPr>
              <w:rPr>
                <w:lang w:val="fr-FR"/>
              </w:rPr>
            </w:pPr>
            <w:r w:rsidRPr="00EC1A12">
              <w:rPr>
                <w:lang w:val="fr-FR"/>
              </w:rPr>
              <w:t>Organisation partenaire dans le mécanisme de mise en œuvre, sous l'organisation principale</w:t>
            </w:r>
          </w:p>
        </w:tc>
      </w:tr>
      <w:tr w:rsidR="00706893" w:rsidRPr="00B029D9" w14:paraId="38504281" w14:textId="77777777" w:rsidTr="0043721D">
        <w:tc>
          <w:tcPr>
            <w:tcW w:w="4675" w:type="dxa"/>
          </w:tcPr>
          <w:p w14:paraId="38268749" w14:textId="77777777" w:rsidR="00706893" w:rsidRPr="00B029D9" w:rsidRDefault="00B029D9" w:rsidP="0043721D">
            <w:pPr>
              <w:rPr>
                <w:lang w:val="fr-FR"/>
              </w:rPr>
            </w:pPr>
            <w:r w:rsidRPr="00B029D9">
              <w:rPr>
                <w:lang w:val="fr-FR"/>
              </w:rPr>
              <w:lastRenderedPageBreak/>
              <w:t>Organisation de recherche locale</w:t>
            </w:r>
          </w:p>
        </w:tc>
        <w:tc>
          <w:tcPr>
            <w:tcW w:w="4675" w:type="dxa"/>
          </w:tcPr>
          <w:p w14:paraId="3920BF1B" w14:textId="77777777" w:rsidR="00706893" w:rsidRPr="00B029D9" w:rsidRDefault="00EC1A12" w:rsidP="0043721D">
            <w:pPr>
              <w:rPr>
                <w:lang w:val="fr-FR"/>
              </w:rPr>
            </w:pPr>
            <w:r w:rsidRPr="00EC1A12">
              <w:rPr>
                <w:lang w:val="fr-FR"/>
              </w:rPr>
              <w:t>Organisation dans le pays contractée pour effectuer la collecte de données</w:t>
            </w:r>
          </w:p>
        </w:tc>
      </w:tr>
    </w:tbl>
    <w:p w14:paraId="7A142494" w14:textId="77777777" w:rsidR="00706893" w:rsidRPr="00B029D9" w:rsidRDefault="00706893" w:rsidP="00706893">
      <w:pPr>
        <w:rPr>
          <w:lang w:val="fr-FR"/>
        </w:rPr>
      </w:pPr>
    </w:p>
    <w:p w14:paraId="71CC3A2C" w14:textId="77777777" w:rsidR="00706893" w:rsidRPr="00B029D9" w:rsidRDefault="00706893" w:rsidP="00706893">
      <w:pPr>
        <w:pStyle w:val="Heading1"/>
        <w:rPr>
          <w:lang w:val="fr-FR"/>
        </w:rPr>
      </w:pPr>
      <w:r w:rsidRPr="00B029D9">
        <w:rPr>
          <w:lang w:val="fr-FR"/>
        </w:rPr>
        <w:t>Considérations clés pour le processus de transfert</w:t>
      </w:r>
    </w:p>
    <w:p w14:paraId="42E0A64A" w14:textId="77777777" w:rsidR="00706893" w:rsidRPr="00B029D9" w:rsidRDefault="00706893" w:rsidP="00706893">
      <w:pPr>
        <w:pStyle w:val="ListParagraph"/>
        <w:numPr>
          <w:ilvl w:val="0"/>
          <w:numId w:val="2"/>
        </w:numPr>
        <w:rPr>
          <w:lang w:val="fr-FR"/>
        </w:rPr>
      </w:pPr>
      <w:r w:rsidRPr="00B029D9">
        <w:rPr>
          <w:b/>
          <w:lang w:val="fr-FR"/>
        </w:rPr>
        <w:t>Considérations techniques</w:t>
      </w:r>
      <w:r w:rsidR="00B029D9">
        <w:rPr>
          <w:b/>
          <w:lang w:val="fr-FR"/>
        </w:rPr>
        <w:t xml:space="preserve"> </w:t>
      </w:r>
      <w:r w:rsidRPr="00B029D9">
        <w:rPr>
          <w:lang w:val="fr-FR"/>
        </w:rPr>
        <w:t>: Afin de transférer le travail sur le terrain de 36 M à un autre lauréat, tous les jeux de données, le matériel de terrain, le matériel de formation seront transférés au nouveau boursier. Idéalement, le nouveau boursier maintiendrait le même organisme de recherche local par souci de cohérence, bien que cela ne soit pas requis dans le cadre des accords de coopération de l'USAID.</w:t>
      </w:r>
    </w:p>
    <w:p w14:paraId="3F584BE9" w14:textId="77777777" w:rsidR="00706893" w:rsidRPr="00B029D9" w:rsidRDefault="00706893" w:rsidP="00706893">
      <w:pPr>
        <w:pStyle w:val="ListParagraph"/>
        <w:numPr>
          <w:ilvl w:val="0"/>
          <w:numId w:val="2"/>
        </w:numPr>
        <w:rPr>
          <w:lang w:val="fr-FR"/>
        </w:rPr>
      </w:pPr>
      <w:r w:rsidRPr="00B029D9">
        <w:rPr>
          <w:b/>
          <w:lang w:val="fr-FR"/>
        </w:rPr>
        <w:t>Considérations relatives à l</w:t>
      </w:r>
      <w:r w:rsidR="00B029D9">
        <w:rPr>
          <w:b/>
          <w:lang w:val="fr-FR"/>
        </w:rPr>
        <w:t xml:space="preserve">’éthique </w:t>
      </w:r>
      <w:r w:rsidR="00B029D9" w:rsidRPr="00B029D9">
        <w:rPr>
          <w:lang w:val="fr-FR"/>
        </w:rPr>
        <w:t>:</w:t>
      </w:r>
      <w:r w:rsidR="00B029D9">
        <w:rPr>
          <w:lang w:val="fr-FR"/>
        </w:rPr>
        <w:t xml:space="preserve"> Dans la plupart des cas, le comité d’éthiques </w:t>
      </w:r>
      <w:r w:rsidRPr="00B029D9">
        <w:rPr>
          <w:lang w:val="fr-FR"/>
        </w:rPr>
        <w:t xml:space="preserve">du nouveau bénéficiaire peut s'en remettre </w:t>
      </w:r>
      <w:r w:rsidR="00B029D9">
        <w:rPr>
          <w:lang w:val="fr-FR"/>
        </w:rPr>
        <w:t>au</w:t>
      </w:r>
      <w:r w:rsidR="00B029D9">
        <w:rPr>
          <w:lang w:val="fr-FR"/>
        </w:rPr>
        <w:t xml:space="preserve"> comité d’éthiques </w:t>
      </w:r>
      <w:r w:rsidRPr="00B029D9">
        <w:rPr>
          <w:lang w:val="fr-FR"/>
        </w:rPr>
        <w:t>originale. Dans les situations où la CISR du nouveau récipiendaire exige une révision de l'ensemble de l'activité, le fait de disposer des approbations éthiques initiales rend habituellement ce processus très rapide.</w:t>
      </w:r>
    </w:p>
    <w:p w14:paraId="3964FA1E" w14:textId="77777777" w:rsidR="00706893" w:rsidRPr="00B029D9" w:rsidRDefault="00706893" w:rsidP="00706893">
      <w:pPr>
        <w:pStyle w:val="ListParagraph"/>
        <w:numPr>
          <w:ilvl w:val="0"/>
          <w:numId w:val="2"/>
        </w:numPr>
        <w:rPr>
          <w:lang w:val="fr-FR"/>
        </w:rPr>
      </w:pPr>
      <w:r w:rsidRPr="00B029D9">
        <w:rPr>
          <w:b/>
          <w:lang w:val="fr-FR"/>
        </w:rPr>
        <w:t xml:space="preserve">Considérations administratives / </w:t>
      </w:r>
      <w:r w:rsidR="00B029D9" w:rsidRPr="00B029D9">
        <w:rPr>
          <w:b/>
          <w:lang w:val="fr-FR"/>
        </w:rPr>
        <w:t>contractuelles</w:t>
      </w:r>
      <w:r w:rsidR="00B029D9" w:rsidRPr="00B029D9">
        <w:rPr>
          <w:lang w:val="fr-FR"/>
        </w:rPr>
        <w:t xml:space="preserve"> :</w:t>
      </w:r>
      <w:r w:rsidRPr="00B029D9">
        <w:rPr>
          <w:lang w:val="fr-FR"/>
        </w:rPr>
        <w:t xml:space="preserve"> Il y a plusieurs scénarios à considérer.</w:t>
      </w:r>
    </w:p>
    <w:p w14:paraId="71DC2DE2" w14:textId="77777777" w:rsidR="00706893" w:rsidRPr="00B029D9" w:rsidRDefault="00706893" w:rsidP="00706893">
      <w:pPr>
        <w:pStyle w:val="ListParagraph"/>
        <w:numPr>
          <w:ilvl w:val="1"/>
          <w:numId w:val="2"/>
        </w:numPr>
        <w:rPr>
          <w:lang w:val="fr-FR"/>
        </w:rPr>
      </w:pPr>
      <w:r w:rsidRPr="00B029D9">
        <w:rPr>
          <w:lang w:val="fr-FR"/>
        </w:rPr>
        <w:t>Le boursier de départ est en mesure de poursuivre l'activité sous un autre mécanisme de l'USAID. Par exemple, si le boursier a reçu une subvention pour le paludisme dans le pays X ou s'il est un sous-bénéficiaire d'un autre mécanisme antipaludique de l'USAID dans le pays X, le boursier pourrait continuer d'être un partenaire de mise en œuvre. Cela nécessite une planification à l'avance en ce qui concerne les calendriers d'éventuels autres mécanismes de financement de l'USAID dans chaque pays en cours.</w:t>
      </w:r>
    </w:p>
    <w:p w14:paraId="26D920E7" w14:textId="77777777" w:rsidR="00706893" w:rsidRPr="00B029D9" w:rsidRDefault="00706893" w:rsidP="00706893">
      <w:pPr>
        <w:pStyle w:val="ListParagraph"/>
        <w:numPr>
          <w:ilvl w:val="1"/>
          <w:numId w:val="2"/>
        </w:numPr>
        <w:rPr>
          <w:lang w:val="fr-FR"/>
        </w:rPr>
      </w:pPr>
      <w:r w:rsidRPr="00B029D9">
        <w:rPr>
          <w:lang w:val="fr-FR"/>
        </w:rPr>
        <w:t>Le boursier de départ n'a pas d'autre mécanisme de financement de l'USAID en place</w:t>
      </w:r>
      <w:r w:rsidR="00B029D9">
        <w:rPr>
          <w:lang w:val="fr-FR"/>
        </w:rPr>
        <w:t xml:space="preserve"> </w:t>
      </w:r>
      <w:r w:rsidRPr="00B029D9">
        <w:rPr>
          <w:lang w:val="fr-FR"/>
        </w:rPr>
        <w:t>; l'activité doit être transférée à un nouveau boursier dans le cadre d'un autre mécanisme de financement de l'USAID. Par exemple, un boursier commence l'activité dans le pays Y, mais à la fin de son projet (EOP), il ne dispose d'aucun autre mécanisme de financement dans le pays Y.</w:t>
      </w:r>
    </w:p>
    <w:p w14:paraId="72D003AC" w14:textId="794EB01D" w:rsidR="00706893" w:rsidRPr="00B029D9" w:rsidRDefault="00706893" w:rsidP="00706893">
      <w:pPr>
        <w:pStyle w:val="ListParagraph"/>
        <w:numPr>
          <w:ilvl w:val="2"/>
          <w:numId w:val="2"/>
        </w:numPr>
        <w:rPr>
          <w:lang w:val="fr-FR"/>
        </w:rPr>
      </w:pPr>
      <w:r w:rsidRPr="00B029D9">
        <w:rPr>
          <w:lang w:val="fr-FR"/>
        </w:rPr>
        <w:t>L'une des solutions consiste pour l'USAID à transférer directement les activités DM restantes à l'organisme de recherche local qui pourrait être en partenariat avec le boursier de départ</w:t>
      </w:r>
      <w:r w:rsidR="005761D0">
        <w:rPr>
          <w:lang w:val="fr-FR"/>
        </w:rPr>
        <w:t xml:space="preserve"> </w:t>
      </w:r>
      <w:r w:rsidRPr="00B029D9">
        <w:rPr>
          <w:lang w:val="fr-FR"/>
        </w:rPr>
        <w:t>;</w:t>
      </w:r>
    </w:p>
    <w:p w14:paraId="3129E1CF" w14:textId="77777777" w:rsidR="00706893" w:rsidRPr="00B029D9" w:rsidRDefault="00706893" w:rsidP="00706893">
      <w:pPr>
        <w:pStyle w:val="ListParagraph"/>
        <w:numPr>
          <w:ilvl w:val="2"/>
          <w:numId w:val="2"/>
        </w:numPr>
        <w:rPr>
          <w:lang w:val="fr-FR"/>
        </w:rPr>
      </w:pPr>
      <w:r w:rsidRPr="00B029D9">
        <w:rPr>
          <w:lang w:val="fr-FR"/>
        </w:rPr>
        <w:t>L'autre est pour un nouveau boursier dans le cadre d'un mécanisme de financement différent de l'USAID pour prendre en charge l'activité. Pour les années précédant l'EOP, il faudrait avoir à l'esprit quel autre mécanisme de financement de l'USAID pourrait prendre en charge et programmer le financement en conséquence, en utilisant les processus habituels de MOP et de reprogrammation. Si le nouveau boursier crée lui-même des sous-bassins pour gérer l'activité (par exemple, un cabinet de recherche local), gardez à l'esprit que les sous-bassins prennent environ six mois ou plus pour être mis en place.</w:t>
      </w:r>
    </w:p>
    <w:p w14:paraId="2EC893A6" w14:textId="27476E8D" w:rsidR="00706893" w:rsidRPr="00B029D9" w:rsidRDefault="00706893" w:rsidP="00706893">
      <w:pPr>
        <w:pStyle w:val="ListParagraph"/>
        <w:numPr>
          <w:ilvl w:val="1"/>
          <w:numId w:val="2"/>
        </w:numPr>
        <w:rPr>
          <w:lang w:val="fr-FR"/>
        </w:rPr>
      </w:pPr>
      <w:r w:rsidRPr="00B029D9">
        <w:rPr>
          <w:lang w:val="fr-FR"/>
        </w:rPr>
        <w:t xml:space="preserve">Troisièmement, PMI peut choisir de transférer l'activité directement à l'organisation de recherche locale, à travers un mécanisme de financement du paludisme de l'USAID existant. Par exemple, l'Institut national de la santé local ou l'Université de </w:t>
      </w:r>
      <w:r w:rsidR="005761D0">
        <w:rPr>
          <w:lang w:val="fr-FR"/>
        </w:rPr>
        <w:t>VilleCapitale</w:t>
      </w:r>
      <w:r w:rsidRPr="00B029D9">
        <w:rPr>
          <w:lang w:val="fr-FR"/>
        </w:rPr>
        <w:t xml:space="preserve"> pourrait mettre en œuvre le travail sur le terrain et pourrait être financé directement par l'USAID, ou par tout projet bilatéral de lutte contre le paludisme financé par l'USAID.</w:t>
      </w:r>
    </w:p>
    <w:p w14:paraId="5FD50BCA" w14:textId="77777777" w:rsidR="00D60323" w:rsidRPr="00B029D9" w:rsidRDefault="00706893" w:rsidP="00706893">
      <w:pPr>
        <w:pStyle w:val="ListParagraph"/>
        <w:numPr>
          <w:ilvl w:val="0"/>
          <w:numId w:val="2"/>
        </w:numPr>
        <w:rPr>
          <w:lang w:val="fr-FR"/>
        </w:rPr>
      </w:pPr>
      <w:r w:rsidRPr="00B029D9">
        <w:rPr>
          <w:b/>
          <w:lang w:val="fr-FR"/>
        </w:rPr>
        <w:t xml:space="preserve">Facteurs </w:t>
      </w:r>
      <w:r w:rsidR="00B029D9" w:rsidRPr="00B029D9">
        <w:rPr>
          <w:b/>
          <w:lang w:val="fr-FR"/>
        </w:rPr>
        <w:t>temporels</w:t>
      </w:r>
      <w:r w:rsidR="00B029D9" w:rsidRPr="00B029D9">
        <w:rPr>
          <w:lang w:val="fr-FR"/>
        </w:rPr>
        <w:t xml:space="preserve"> :</w:t>
      </w:r>
      <w:r w:rsidRPr="00B029D9">
        <w:rPr>
          <w:lang w:val="fr-FR"/>
        </w:rPr>
        <w:t xml:space="preserve"> Gardez à l'esprit que la reprogrammation, le transfert ou la mise en place de nouvelles sous-contrats ou sous-contrats, ainsi que les modifications du plan de travail et les processus d'approbation peuvent prendre de six à douze mois selon les circonstances. Le boursier de départ aura besoin d'au moins trois mois pour procéder à la clôture financière. Par conséquent, le processus de transfert des activités de DM devrait commencer immédiatement</w:t>
      </w:r>
      <w:r w:rsidR="00FA066B" w:rsidRPr="00B029D9">
        <w:rPr>
          <w:lang w:val="fr-FR"/>
        </w:rPr>
        <w:t xml:space="preserve"> après la dernière ronde de collecte de données que le boursier de départ est en mesure de mener.</w:t>
      </w:r>
    </w:p>
    <w:p w14:paraId="0B321EFA" w14:textId="77777777" w:rsidR="00FA066B" w:rsidRPr="00B029D9" w:rsidRDefault="00FA066B" w:rsidP="00FA066B">
      <w:pPr>
        <w:rPr>
          <w:lang w:val="fr-FR"/>
        </w:rPr>
      </w:pPr>
    </w:p>
    <w:p w14:paraId="1CDB0117" w14:textId="77777777" w:rsidR="00FA066B" w:rsidRPr="00B029D9" w:rsidRDefault="00FA066B" w:rsidP="00FA066B">
      <w:pPr>
        <w:rPr>
          <w:lang w:val="fr-FR"/>
        </w:rPr>
      </w:pPr>
      <w:r w:rsidRPr="00B029D9">
        <w:rPr>
          <w:lang w:val="fr-FR"/>
        </w:rPr>
        <w:t>Ci-dessous, dans le tableau 2, nous présentons des exemples supplémentaires dans le cas où le POE est le 30 septembre 2019 et où les activités de collecte de données tombent au dernier trimestre ou en dehors de la durée de vie du projet (en rouge).</w:t>
      </w:r>
    </w:p>
    <w:p w14:paraId="18C57F89" w14:textId="77777777" w:rsidR="00FA066B" w:rsidRPr="00B029D9" w:rsidRDefault="00FA066B" w:rsidP="00FA066B">
      <w:pPr>
        <w:rPr>
          <w:lang w:val="fr-FR"/>
        </w:rPr>
      </w:pPr>
    </w:p>
    <w:p w14:paraId="6BBA7CBD" w14:textId="77777777" w:rsidR="00FA066B" w:rsidRPr="00B029D9" w:rsidRDefault="00FA066B" w:rsidP="00FA066B">
      <w:pPr>
        <w:pStyle w:val="Caption"/>
        <w:keepNext/>
        <w:rPr>
          <w:lang w:val="fr-FR"/>
        </w:rPr>
      </w:pPr>
      <w:r w:rsidRPr="00B029D9">
        <w:rPr>
          <w:lang w:val="fr-FR"/>
        </w:rPr>
        <w:t xml:space="preserve">Table </w:t>
      </w:r>
      <w:r w:rsidRPr="00B029D9">
        <w:rPr>
          <w:lang w:val="fr-FR"/>
        </w:rPr>
        <w:fldChar w:fldCharType="begin"/>
      </w:r>
      <w:r w:rsidRPr="00B029D9">
        <w:rPr>
          <w:lang w:val="fr-FR"/>
        </w:rPr>
        <w:instrText xml:space="preserve"> SEQ Table \* ARABIC </w:instrText>
      </w:r>
      <w:r w:rsidRPr="00B029D9">
        <w:rPr>
          <w:lang w:val="fr-FR"/>
        </w:rPr>
        <w:fldChar w:fldCharType="separate"/>
      </w:r>
      <w:r w:rsidRPr="00B029D9">
        <w:rPr>
          <w:lang w:val="fr-FR"/>
        </w:rPr>
        <w:t>2</w:t>
      </w:r>
      <w:r w:rsidRPr="00B029D9">
        <w:rPr>
          <w:lang w:val="fr-FR"/>
        </w:rPr>
        <w:fldChar w:fldCharType="end"/>
      </w:r>
      <w:r w:rsidRPr="00B029D9">
        <w:rPr>
          <w:lang w:val="fr-FR"/>
        </w:rPr>
        <w:t xml:space="preserve">: </w:t>
      </w:r>
      <w:r w:rsidR="00B029D9">
        <w:rPr>
          <w:lang w:val="fr-FR"/>
        </w:rPr>
        <w:t xml:space="preserve">Fin de </w:t>
      </w:r>
      <w:r w:rsidRPr="00B029D9">
        <w:rPr>
          <w:lang w:val="fr-FR"/>
        </w:rPr>
        <w:t xml:space="preserve">Projet </w:t>
      </w:r>
      <w:r w:rsidR="00B029D9" w:rsidRPr="00B029D9">
        <w:rPr>
          <w:lang w:val="fr-FR"/>
        </w:rPr>
        <w:t>Septembre</w:t>
      </w:r>
      <w:r w:rsidRPr="00B029D9">
        <w:rPr>
          <w:lang w:val="fr-FR"/>
        </w:rPr>
        <w:t xml:space="preserve"> 2019 - </w:t>
      </w:r>
      <w:r w:rsidR="00B029D9" w:rsidRPr="00B029D9">
        <w:rPr>
          <w:lang w:val="fr-FR"/>
        </w:rPr>
        <w:t>Les activités du SM qui entreront ou non dans ce calendrier, et les implications</w:t>
      </w:r>
      <w:r w:rsidRPr="00B029D9">
        <w:rPr>
          <w:lang w:val="fr-FR"/>
        </w:rPr>
        <w:t>.</w:t>
      </w:r>
    </w:p>
    <w:tbl>
      <w:tblPr>
        <w:tblStyle w:val="TableGrid"/>
        <w:tblW w:w="0" w:type="auto"/>
        <w:tblLook w:val="04A0" w:firstRow="1" w:lastRow="0" w:firstColumn="1" w:lastColumn="0" w:noHBand="0" w:noVBand="1"/>
      </w:tblPr>
      <w:tblGrid>
        <w:gridCol w:w="805"/>
        <w:gridCol w:w="2430"/>
        <w:gridCol w:w="2070"/>
        <w:gridCol w:w="4045"/>
      </w:tblGrid>
      <w:tr w:rsidR="00FA066B" w:rsidRPr="00B029D9" w14:paraId="51D88CD3" w14:textId="77777777" w:rsidTr="0043721D">
        <w:tc>
          <w:tcPr>
            <w:tcW w:w="805" w:type="dxa"/>
            <w:vMerge w:val="restart"/>
            <w:vAlign w:val="center"/>
          </w:tcPr>
          <w:p w14:paraId="6C5053EC" w14:textId="77777777" w:rsidR="00FA066B" w:rsidRPr="00B029D9" w:rsidRDefault="00FA066B" w:rsidP="0043721D">
            <w:pPr>
              <w:rPr>
                <w:lang w:val="fr-FR"/>
              </w:rPr>
            </w:pPr>
            <w:r w:rsidRPr="00B029D9">
              <w:rPr>
                <w:lang w:val="fr-FR"/>
              </w:rPr>
              <w:t>2016</w:t>
            </w:r>
          </w:p>
        </w:tc>
        <w:tc>
          <w:tcPr>
            <w:tcW w:w="2430" w:type="dxa"/>
          </w:tcPr>
          <w:p w14:paraId="60B068E9" w14:textId="77777777" w:rsidR="00FA066B" w:rsidRPr="00B029D9" w:rsidRDefault="00B029D9" w:rsidP="0043721D">
            <w:pPr>
              <w:rPr>
                <w:lang w:val="fr-FR"/>
              </w:rPr>
            </w:pPr>
            <w:r w:rsidRPr="00B029D9">
              <w:rPr>
                <w:lang w:val="fr-FR"/>
              </w:rPr>
              <w:t>La Mission initie une demande de suivi de la durabilité au 1er semestre 2016</w:t>
            </w:r>
          </w:p>
        </w:tc>
        <w:tc>
          <w:tcPr>
            <w:tcW w:w="2070" w:type="dxa"/>
          </w:tcPr>
          <w:p w14:paraId="6AB5AD4D" w14:textId="77777777" w:rsidR="00FA066B" w:rsidRPr="00B029D9" w:rsidRDefault="00FA066B" w:rsidP="0043721D">
            <w:pPr>
              <w:rPr>
                <w:lang w:val="fr-FR"/>
              </w:rPr>
            </w:pPr>
            <w:r w:rsidRPr="00B029D9">
              <w:rPr>
                <w:lang w:val="fr-FR"/>
              </w:rPr>
              <w:t>6M Nov 2016</w:t>
            </w:r>
          </w:p>
          <w:p w14:paraId="56C64A13" w14:textId="77777777" w:rsidR="00FA066B" w:rsidRPr="00B029D9" w:rsidRDefault="00FA066B" w:rsidP="0043721D">
            <w:pPr>
              <w:rPr>
                <w:lang w:val="fr-FR"/>
              </w:rPr>
            </w:pPr>
            <w:r w:rsidRPr="00B029D9">
              <w:rPr>
                <w:lang w:val="fr-FR"/>
              </w:rPr>
              <w:t>12M April 2017</w:t>
            </w:r>
          </w:p>
          <w:p w14:paraId="10149259" w14:textId="77777777" w:rsidR="00FA066B" w:rsidRPr="00B029D9" w:rsidRDefault="00FA066B" w:rsidP="0043721D">
            <w:pPr>
              <w:rPr>
                <w:lang w:val="fr-FR"/>
              </w:rPr>
            </w:pPr>
            <w:r w:rsidRPr="00B029D9">
              <w:rPr>
                <w:lang w:val="fr-FR"/>
              </w:rPr>
              <w:t>24M April 2018</w:t>
            </w:r>
          </w:p>
          <w:p w14:paraId="003F12D7" w14:textId="77777777" w:rsidR="00FA066B" w:rsidRPr="00B029D9" w:rsidRDefault="00FA066B" w:rsidP="0043721D">
            <w:pPr>
              <w:rPr>
                <w:lang w:val="fr-FR"/>
              </w:rPr>
            </w:pPr>
            <w:r w:rsidRPr="00B029D9">
              <w:rPr>
                <w:lang w:val="fr-FR"/>
              </w:rPr>
              <w:t>36M April 2019</w:t>
            </w:r>
          </w:p>
        </w:tc>
        <w:tc>
          <w:tcPr>
            <w:tcW w:w="4045" w:type="dxa"/>
          </w:tcPr>
          <w:p w14:paraId="0EC25F8E" w14:textId="77777777" w:rsidR="00FA066B" w:rsidRPr="00B029D9" w:rsidRDefault="00B029D9" w:rsidP="0043721D">
            <w:pPr>
              <w:rPr>
                <w:lang w:val="fr-FR"/>
              </w:rPr>
            </w:pPr>
            <w:r w:rsidRPr="00B029D9">
              <w:rPr>
                <w:lang w:val="fr-FR"/>
              </w:rPr>
              <w:t>Toutes les rondes de travail sur le terrain et l'écriture finale peuvent être complétées avant l'EOP.</w:t>
            </w:r>
          </w:p>
        </w:tc>
      </w:tr>
      <w:tr w:rsidR="00FA066B" w:rsidRPr="00B029D9" w14:paraId="6F24FC24" w14:textId="77777777" w:rsidTr="0043721D">
        <w:tc>
          <w:tcPr>
            <w:tcW w:w="805" w:type="dxa"/>
            <w:vMerge/>
            <w:vAlign w:val="center"/>
          </w:tcPr>
          <w:p w14:paraId="7B9F525F" w14:textId="77777777" w:rsidR="00FA066B" w:rsidRPr="00B029D9" w:rsidRDefault="00FA066B" w:rsidP="0043721D">
            <w:pPr>
              <w:rPr>
                <w:lang w:val="fr-FR"/>
              </w:rPr>
            </w:pPr>
          </w:p>
        </w:tc>
        <w:tc>
          <w:tcPr>
            <w:tcW w:w="2430" w:type="dxa"/>
          </w:tcPr>
          <w:p w14:paraId="2A28031E" w14:textId="77777777" w:rsidR="00FA066B" w:rsidRPr="00B029D9" w:rsidRDefault="00B029D9" w:rsidP="0043721D">
            <w:pPr>
              <w:rPr>
                <w:lang w:val="fr-FR"/>
              </w:rPr>
            </w:pPr>
            <w:r w:rsidRPr="00B029D9">
              <w:rPr>
                <w:lang w:val="fr-FR"/>
              </w:rPr>
              <w:t>Mission initie une demande de suivi de la durabilité au 2ème semestre 2016</w:t>
            </w:r>
          </w:p>
        </w:tc>
        <w:tc>
          <w:tcPr>
            <w:tcW w:w="2070" w:type="dxa"/>
          </w:tcPr>
          <w:p w14:paraId="5C0C726F" w14:textId="77777777" w:rsidR="00FA066B" w:rsidRPr="00B029D9" w:rsidRDefault="00FA066B" w:rsidP="0043721D">
            <w:pPr>
              <w:rPr>
                <w:lang w:val="fr-FR"/>
              </w:rPr>
            </w:pPr>
            <w:r w:rsidRPr="00B029D9">
              <w:rPr>
                <w:lang w:val="fr-FR"/>
              </w:rPr>
              <w:t>6M Feb 2017</w:t>
            </w:r>
          </w:p>
          <w:p w14:paraId="648EF2AD" w14:textId="77777777" w:rsidR="00FA066B" w:rsidRPr="00B029D9" w:rsidRDefault="00FA066B" w:rsidP="0043721D">
            <w:pPr>
              <w:rPr>
                <w:lang w:val="fr-FR"/>
              </w:rPr>
            </w:pPr>
            <w:r w:rsidRPr="00B029D9">
              <w:rPr>
                <w:lang w:val="fr-FR"/>
              </w:rPr>
              <w:t>12M Oct 2017</w:t>
            </w:r>
          </w:p>
          <w:p w14:paraId="5B00B555" w14:textId="77777777" w:rsidR="00FA066B" w:rsidRPr="00B029D9" w:rsidRDefault="00FA066B" w:rsidP="0043721D">
            <w:pPr>
              <w:rPr>
                <w:lang w:val="fr-FR"/>
              </w:rPr>
            </w:pPr>
            <w:r w:rsidRPr="00B029D9">
              <w:rPr>
                <w:lang w:val="fr-FR"/>
              </w:rPr>
              <w:t>24M Oct 2018</w:t>
            </w:r>
          </w:p>
          <w:p w14:paraId="45395997" w14:textId="77777777" w:rsidR="00FA066B" w:rsidRPr="00B029D9" w:rsidRDefault="00FA066B" w:rsidP="0043721D">
            <w:pPr>
              <w:rPr>
                <w:lang w:val="fr-FR"/>
              </w:rPr>
            </w:pPr>
            <w:r w:rsidRPr="00B029D9">
              <w:rPr>
                <w:color w:val="FF0000"/>
                <w:lang w:val="fr-FR"/>
              </w:rPr>
              <w:t>36M Oct 2019</w:t>
            </w:r>
          </w:p>
        </w:tc>
        <w:tc>
          <w:tcPr>
            <w:tcW w:w="4045" w:type="dxa"/>
          </w:tcPr>
          <w:p w14:paraId="442EDC48" w14:textId="7A68DF00" w:rsidR="00B029D9" w:rsidRPr="00B029D9" w:rsidRDefault="00B029D9" w:rsidP="00B029D9">
            <w:pPr>
              <w:rPr>
                <w:lang w:val="fr-FR"/>
              </w:rPr>
            </w:pPr>
            <w:r w:rsidRPr="00B029D9">
              <w:rPr>
                <w:lang w:val="fr-FR"/>
              </w:rPr>
              <w:t>Deux options</w:t>
            </w:r>
            <w:r w:rsidR="005761D0">
              <w:rPr>
                <w:lang w:val="fr-FR"/>
              </w:rPr>
              <w:t xml:space="preserve"> </w:t>
            </w:r>
            <w:r w:rsidRPr="00B029D9">
              <w:rPr>
                <w:lang w:val="fr-FR"/>
              </w:rPr>
              <w:t>:</w:t>
            </w:r>
          </w:p>
          <w:p w14:paraId="54C59B9C" w14:textId="77777777" w:rsidR="00B029D9" w:rsidRPr="00B029D9" w:rsidRDefault="00B029D9" w:rsidP="00B029D9">
            <w:pPr>
              <w:pStyle w:val="ListParagraph"/>
              <w:numPr>
                <w:ilvl w:val="0"/>
                <w:numId w:val="5"/>
              </w:numPr>
              <w:rPr>
                <w:lang w:val="fr-FR"/>
              </w:rPr>
            </w:pPr>
            <w:r w:rsidRPr="00B029D9">
              <w:rPr>
                <w:lang w:val="fr-FR"/>
              </w:rPr>
              <w:t>Renseigner la collecte de données 36M à 32-34M, qui fournit toujours suffisamment de points de données pour l'estimation de la survie médiane.</w:t>
            </w:r>
          </w:p>
          <w:p w14:paraId="3BEF8743" w14:textId="77777777" w:rsidR="00FA066B" w:rsidRPr="00B029D9" w:rsidRDefault="00B029D9" w:rsidP="00B029D9">
            <w:pPr>
              <w:pStyle w:val="ListParagraph"/>
              <w:numPr>
                <w:ilvl w:val="0"/>
                <w:numId w:val="5"/>
              </w:numPr>
              <w:rPr>
                <w:lang w:val="fr-FR"/>
              </w:rPr>
            </w:pPr>
            <w:r w:rsidRPr="00B029D9">
              <w:rPr>
                <w:lang w:val="fr-FR"/>
              </w:rPr>
              <w:t>Immédiatement après la collecte de données 24M, le processus de transfert de l'activité vers un nouveau mécanisme commencerait.</w:t>
            </w:r>
          </w:p>
        </w:tc>
      </w:tr>
      <w:tr w:rsidR="00FA066B" w:rsidRPr="00B029D9" w14:paraId="5F9AC6B7" w14:textId="77777777" w:rsidTr="0043721D">
        <w:tc>
          <w:tcPr>
            <w:tcW w:w="805" w:type="dxa"/>
            <w:vMerge w:val="restart"/>
            <w:vAlign w:val="center"/>
          </w:tcPr>
          <w:p w14:paraId="78E9D302" w14:textId="77777777" w:rsidR="00FA066B" w:rsidRPr="00B029D9" w:rsidRDefault="00FA066B" w:rsidP="0043721D">
            <w:pPr>
              <w:rPr>
                <w:lang w:val="fr-FR"/>
              </w:rPr>
            </w:pPr>
            <w:r w:rsidRPr="00B029D9">
              <w:rPr>
                <w:lang w:val="fr-FR"/>
              </w:rPr>
              <w:t>2017</w:t>
            </w:r>
          </w:p>
        </w:tc>
        <w:tc>
          <w:tcPr>
            <w:tcW w:w="2430" w:type="dxa"/>
          </w:tcPr>
          <w:p w14:paraId="3D50DD27" w14:textId="77777777" w:rsidR="00FA066B" w:rsidRPr="00B029D9" w:rsidRDefault="00B029D9" w:rsidP="0043721D">
            <w:pPr>
              <w:rPr>
                <w:lang w:val="fr-FR"/>
              </w:rPr>
            </w:pPr>
            <w:r w:rsidRPr="00B029D9">
              <w:rPr>
                <w:lang w:val="fr-FR"/>
              </w:rPr>
              <w:t>Mission lance une demande de surveillance de la durabilité au 1er semestre 2017</w:t>
            </w:r>
          </w:p>
        </w:tc>
        <w:tc>
          <w:tcPr>
            <w:tcW w:w="2070" w:type="dxa"/>
          </w:tcPr>
          <w:p w14:paraId="6240EA85" w14:textId="77777777" w:rsidR="00FA066B" w:rsidRPr="00B029D9" w:rsidRDefault="00FA066B" w:rsidP="0043721D">
            <w:pPr>
              <w:rPr>
                <w:lang w:val="fr-FR"/>
              </w:rPr>
            </w:pPr>
            <w:r w:rsidRPr="00B029D9">
              <w:rPr>
                <w:lang w:val="fr-FR"/>
              </w:rPr>
              <w:t>6M – July 2017</w:t>
            </w:r>
          </w:p>
          <w:p w14:paraId="6F71E9D9" w14:textId="77777777" w:rsidR="00FA066B" w:rsidRPr="00B029D9" w:rsidRDefault="00FA066B" w:rsidP="0043721D">
            <w:pPr>
              <w:rPr>
                <w:lang w:val="fr-FR"/>
              </w:rPr>
            </w:pPr>
            <w:r w:rsidRPr="00B029D9">
              <w:rPr>
                <w:lang w:val="fr-FR"/>
              </w:rPr>
              <w:t>12M Jan 2018</w:t>
            </w:r>
          </w:p>
          <w:p w14:paraId="00251B81" w14:textId="77777777" w:rsidR="00FA066B" w:rsidRPr="00B029D9" w:rsidRDefault="00FA066B" w:rsidP="0043721D">
            <w:pPr>
              <w:rPr>
                <w:lang w:val="fr-FR"/>
              </w:rPr>
            </w:pPr>
            <w:r w:rsidRPr="00B029D9">
              <w:rPr>
                <w:lang w:val="fr-FR"/>
              </w:rPr>
              <w:t>24M Jan 2019</w:t>
            </w:r>
          </w:p>
          <w:p w14:paraId="2A9CC61B" w14:textId="77777777" w:rsidR="00FA066B" w:rsidRPr="00B029D9" w:rsidRDefault="00FA066B" w:rsidP="0043721D">
            <w:pPr>
              <w:rPr>
                <w:lang w:val="fr-FR"/>
              </w:rPr>
            </w:pPr>
            <w:r w:rsidRPr="00B029D9">
              <w:rPr>
                <w:color w:val="FF0000"/>
                <w:lang w:val="fr-FR"/>
              </w:rPr>
              <w:t>36M Jan 2020</w:t>
            </w:r>
          </w:p>
        </w:tc>
        <w:tc>
          <w:tcPr>
            <w:tcW w:w="4045" w:type="dxa"/>
          </w:tcPr>
          <w:p w14:paraId="5B68D406" w14:textId="77777777" w:rsidR="00FA066B" w:rsidRPr="00B029D9" w:rsidRDefault="00B029D9" w:rsidP="0043721D">
            <w:pPr>
              <w:rPr>
                <w:lang w:val="fr-FR"/>
              </w:rPr>
            </w:pPr>
            <w:r w:rsidRPr="00B029D9">
              <w:rPr>
                <w:lang w:val="fr-FR"/>
              </w:rPr>
              <w:t>Immédiatement après la collecte des données 24M, le processus de transfert de l'activité à un nouveau mécanisme commencerait par l'USAID.</w:t>
            </w:r>
          </w:p>
        </w:tc>
      </w:tr>
      <w:tr w:rsidR="00FA066B" w:rsidRPr="00B029D9" w14:paraId="5191944A" w14:textId="77777777" w:rsidTr="0043721D">
        <w:tc>
          <w:tcPr>
            <w:tcW w:w="805" w:type="dxa"/>
            <w:vMerge/>
          </w:tcPr>
          <w:p w14:paraId="4FC640D5" w14:textId="77777777" w:rsidR="00FA066B" w:rsidRPr="00B029D9" w:rsidRDefault="00FA066B" w:rsidP="0043721D">
            <w:pPr>
              <w:rPr>
                <w:lang w:val="fr-FR"/>
              </w:rPr>
            </w:pPr>
          </w:p>
        </w:tc>
        <w:tc>
          <w:tcPr>
            <w:tcW w:w="2430" w:type="dxa"/>
          </w:tcPr>
          <w:p w14:paraId="03B209DE" w14:textId="77777777" w:rsidR="00FA066B" w:rsidRPr="00B029D9" w:rsidRDefault="00B029D9" w:rsidP="0043721D">
            <w:pPr>
              <w:rPr>
                <w:lang w:val="fr-FR"/>
              </w:rPr>
            </w:pPr>
            <w:r w:rsidRPr="00B029D9">
              <w:rPr>
                <w:lang w:val="fr-FR"/>
              </w:rPr>
              <w:t>Mission initie une demande de suivi de la durabilité au 2ème semestre 2017</w:t>
            </w:r>
          </w:p>
        </w:tc>
        <w:tc>
          <w:tcPr>
            <w:tcW w:w="2070" w:type="dxa"/>
          </w:tcPr>
          <w:p w14:paraId="60313EFF" w14:textId="77777777" w:rsidR="00FA066B" w:rsidRPr="00B029D9" w:rsidRDefault="00FA066B" w:rsidP="0043721D">
            <w:pPr>
              <w:rPr>
                <w:lang w:val="fr-FR"/>
              </w:rPr>
            </w:pPr>
            <w:r w:rsidRPr="00B029D9">
              <w:rPr>
                <w:lang w:val="fr-FR"/>
              </w:rPr>
              <w:t>6M Jan 2018</w:t>
            </w:r>
          </w:p>
          <w:p w14:paraId="5C4AA310" w14:textId="77777777" w:rsidR="00FA066B" w:rsidRPr="00B029D9" w:rsidRDefault="00FA066B" w:rsidP="0043721D">
            <w:pPr>
              <w:rPr>
                <w:lang w:val="fr-FR"/>
              </w:rPr>
            </w:pPr>
            <w:r w:rsidRPr="00B029D9">
              <w:rPr>
                <w:lang w:val="fr-FR"/>
              </w:rPr>
              <w:t>12M July 2018</w:t>
            </w:r>
          </w:p>
          <w:p w14:paraId="365E8244" w14:textId="77777777" w:rsidR="00FA066B" w:rsidRPr="00B029D9" w:rsidRDefault="00FA066B" w:rsidP="0043721D">
            <w:pPr>
              <w:rPr>
                <w:color w:val="FF0000"/>
                <w:lang w:val="fr-FR"/>
              </w:rPr>
            </w:pPr>
            <w:r w:rsidRPr="00B029D9">
              <w:rPr>
                <w:color w:val="FF0000"/>
                <w:lang w:val="fr-FR"/>
              </w:rPr>
              <w:t>24M July 2019</w:t>
            </w:r>
          </w:p>
          <w:p w14:paraId="62B8424B" w14:textId="77777777" w:rsidR="00FA066B" w:rsidRPr="00B029D9" w:rsidRDefault="00FA066B" w:rsidP="0043721D">
            <w:pPr>
              <w:rPr>
                <w:lang w:val="fr-FR"/>
              </w:rPr>
            </w:pPr>
            <w:r w:rsidRPr="00B029D9">
              <w:rPr>
                <w:color w:val="FF0000"/>
                <w:lang w:val="fr-FR"/>
              </w:rPr>
              <w:t>36M July 2020</w:t>
            </w:r>
          </w:p>
        </w:tc>
        <w:tc>
          <w:tcPr>
            <w:tcW w:w="4045" w:type="dxa"/>
          </w:tcPr>
          <w:p w14:paraId="51D41E0C" w14:textId="46D8F2DD" w:rsidR="00FA066B" w:rsidRPr="00B029D9" w:rsidRDefault="00B029D9" w:rsidP="0043721D">
            <w:pPr>
              <w:rPr>
                <w:lang w:val="fr-FR"/>
              </w:rPr>
            </w:pPr>
            <w:r>
              <w:rPr>
                <w:lang w:val="fr-FR"/>
              </w:rPr>
              <w:t>On</w:t>
            </w:r>
            <w:r w:rsidRPr="00B029D9">
              <w:rPr>
                <w:lang w:val="fr-FR"/>
              </w:rPr>
              <w:t xml:space="preserve"> </w:t>
            </w:r>
            <w:r w:rsidR="005761D0" w:rsidRPr="00B029D9">
              <w:rPr>
                <w:lang w:val="fr-FR"/>
              </w:rPr>
              <w:t>recommanderait</w:t>
            </w:r>
            <w:r w:rsidRPr="00B029D9">
              <w:rPr>
                <w:lang w:val="fr-FR"/>
              </w:rPr>
              <w:t xml:space="preserve"> à l'USAID de lancer cette activité entièrement sous un mécanisme différent, à moins qu'une AT importante ne soit préférée d'un boursier de départ.</w:t>
            </w:r>
          </w:p>
        </w:tc>
      </w:tr>
    </w:tbl>
    <w:p w14:paraId="58F2C43B" w14:textId="77777777" w:rsidR="00FA066B" w:rsidRPr="00B029D9" w:rsidRDefault="00FA066B" w:rsidP="00FA066B">
      <w:pPr>
        <w:rPr>
          <w:lang w:val="fr-FR"/>
        </w:rPr>
      </w:pPr>
    </w:p>
    <w:p w14:paraId="745EF41B" w14:textId="77777777" w:rsidR="00FA066B" w:rsidRPr="00B029D9" w:rsidRDefault="00B029D9" w:rsidP="00FA066B">
      <w:pPr>
        <w:pStyle w:val="Heading1"/>
        <w:rPr>
          <w:lang w:val="fr-FR"/>
        </w:rPr>
      </w:pPr>
      <w:r>
        <w:rPr>
          <w:lang w:val="fr-FR"/>
        </w:rPr>
        <w:t>Calend</w:t>
      </w:r>
      <w:r w:rsidR="00FA066B" w:rsidRPr="00B029D9">
        <w:rPr>
          <w:lang w:val="fr-FR"/>
        </w:rPr>
        <w:t>r</w:t>
      </w:r>
      <w:r>
        <w:rPr>
          <w:lang w:val="fr-FR"/>
        </w:rPr>
        <w:t>ier</w:t>
      </w:r>
      <w:r w:rsidR="00FA066B" w:rsidRPr="00B029D9">
        <w:rPr>
          <w:lang w:val="fr-FR"/>
        </w:rPr>
        <w:t xml:space="preserve"> </w:t>
      </w:r>
      <w:r>
        <w:rPr>
          <w:lang w:val="fr-FR"/>
        </w:rPr>
        <w:t>des évènements</w:t>
      </w:r>
    </w:p>
    <w:p w14:paraId="79C7A67E" w14:textId="77777777" w:rsidR="00FA066B" w:rsidRPr="00B029D9" w:rsidRDefault="00B029D9" w:rsidP="00FA066B">
      <w:pPr>
        <w:rPr>
          <w:lang w:val="fr-FR"/>
        </w:rPr>
      </w:pPr>
      <w:r w:rsidRPr="00B029D9">
        <w:rPr>
          <w:lang w:val="fr-FR"/>
        </w:rPr>
        <w:t>Pour illustrer plus en détail comment le transfert d'activités aura lieu au cours des 12 derniers mois, un exemple de séquence d'étapes est décrit ci-dessous, après la collecte des données finales par le boursier de départ.</w:t>
      </w:r>
    </w:p>
    <w:tbl>
      <w:tblPr>
        <w:tblStyle w:val="TableGrid"/>
        <w:tblW w:w="0" w:type="auto"/>
        <w:tblInd w:w="-5" w:type="dxa"/>
        <w:tblLook w:val="04A0" w:firstRow="1" w:lastRow="0" w:firstColumn="1" w:lastColumn="0" w:noHBand="0" w:noVBand="1"/>
      </w:tblPr>
      <w:tblGrid>
        <w:gridCol w:w="1440"/>
        <w:gridCol w:w="7915"/>
      </w:tblGrid>
      <w:tr w:rsidR="00FA066B" w:rsidRPr="00B029D9" w14:paraId="4C3619DA" w14:textId="77777777" w:rsidTr="0043721D">
        <w:tc>
          <w:tcPr>
            <w:tcW w:w="1440" w:type="dxa"/>
          </w:tcPr>
          <w:p w14:paraId="7B4B252F" w14:textId="77777777" w:rsidR="00FA066B" w:rsidRPr="00B029D9" w:rsidRDefault="00B029D9" w:rsidP="0043721D">
            <w:pPr>
              <w:rPr>
                <w:lang w:val="fr-FR"/>
              </w:rPr>
            </w:pPr>
            <w:r w:rsidRPr="00B029D9">
              <w:rPr>
                <w:lang w:val="fr-FR"/>
              </w:rPr>
              <w:t>Octobre</w:t>
            </w:r>
          </w:p>
        </w:tc>
        <w:tc>
          <w:tcPr>
            <w:tcW w:w="7915" w:type="dxa"/>
          </w:tcPr>
          <w:p w14:paraId="0CDE6E32" w14:textId="77777777" w:rsidR="00FA066B" w:rsidRPr="00B029D9" w:rsidRDefault="00B029D9" w:rsidP="0043721D">
            <w:pPr>
              <w:rPr>
                <w:lang w:val="fr-FR"/>
              </w:rPr>
            </w:pPr>
            <w:r w:rsidRPr="00B029D9">
              <w:rPr>
                <w:lang w:val="fr-FR"/>
              </w:rPr>
              <w:t>Collecte finale des données en débutant le prix. La mission commence à préparer le financement en passant par des mécanismes de reprogrammation à un nouveau partenaire. Le nouveau partenaire est identifié à ce stade.</w:t>
            </w:r>
          </w:p>
        </w:tc>
      </w:tr>
      <w:tr w:rsidR="00FA066B" w:rsidRPr="00B029D9" w14:paraId="1F867C7F" w14:textId="77777777" w:rsidTr="0043721D">
        <w:tc>
          <w:tcPr>
            <w:tcW w:w="1440" w:type="dxa"/>
          </w:tcPr>
          <w:p w14:paraId="528AA80C" w14:textId="77777777" w:rsidR="00FA066B" w:rsidRPr="00B029D9" w:rsidRDefault="00B029D9" w:rsidP="0043721D">
            <w:pPr>
              <w:rPr>
                <w:lang w:val="fr-FR"/>
              </w:rPr>
            </w:pPr>
            <w:r w:rsidRPr="00B029D9">
              <w:rPr>
                <w:lang w:val="fr-FR"/>
              </w:rPr>
              <w:t>Novembre</w:t>
            </w:r>
          </w:p>
        </w:tc>
        <w:tc>
          <w:tcPr>
            <w:tcW w:w="7915" w:type="dxa"/>
          </w:tcPr>
          <w:p w14:paraId="2C5DA4C2" w14:textId="77777777" w:rsidR="00FA066B" w:rsidRPr="00B029D9" w:rsidRDefault="00B029D9" w:rsidP="0043721D">
            <w:pPr>
              <w:rPr>
                <w:lang w:val="fr-FR"/>
              </w:rPr>
            </w:pPr>
            <w:r w:rsidRPr="00B029D9">
              <w:rPr>
                <w:lang w:val="fr-FR"/>
              </w:rPr>
              <w:t>Immédiatement après la collecte des données finales, le boursier doit compléter l'analyse et les rapports.</w:t>
            </w:r>
          </w:p>
        </w:tc>
      </w:tr>
      <w:tr w:rsidR="00FA066B" w:rsidRPr="00B029D9" w14:paraId="4518EB1D" w14:textId="77777777" w:rsidTr="0043721D">
        <w:tc>
          <w:tcPr>
            <w:tcW w:w="1440" w:type="dxa"/>
          </w:tcPr>
          <w:p w14:paraId="0562DBB2" w14:textId="77777777" w:rsidR="00FA066B" w:rsidRPr="00B029D9" w:rsidRDefault="00B029D9" w:rsidP="0043721D">
            <w:pPr>
              <w:rPr>
                <w:lang w:val="fr-FR"/>
              </w:rPr>
            </w:pPr>
            <w:r w:rsidRPr="00B029D9">
              <w:rPr>
                <w:lang w:val="fr-FR"/>
              </w:rPr>
              <w:t>Décembre</w:t>
            </w:r>
          </w:p>
        </w:tc>
        <w:tc>
          <w:tcPr>
            <w:tcW w:w="7915" w:type="dxa"/>
          </w:tcPr>
          <w:p w14:paraId="3C93010C" w14:textId="77777777" w:rsidR="00B029D9" w:rsidRPr="00B029D9" w:rsidRDefault="00B029D9" w:rsidP="00B029D9">
            <w:pPr>
              <w:rPr>
                <w:lang w:val="fr-FR"/>
              </w:rPr>
            </w:pPr>
            <w:r>
              <w:rPr>
                <w:lang w:val="fr-FR"/>
              </w:rPr>
              <w:t>Le boursier</w:t>
            </w:r>
            <w:r w:rsidRPr="00B029D9">
              <w:rPr>
                <w:lang w:val="fr-FR"/>
              </w:rPr>
              <w:t xml:space="preserve"> transfère tous les fichiers d'étude au nouveau </w:t>
            </w:r>
            <w:r>
              <w:rPr>
                <w:lang w:val="fr-FR"/>
              </w:rPr>
              <w:t>boursier</w:t>
            </w:r>
          </w:p>
          <w:p w14:paraId="6E9C0AD7" w14:textId="77777777" w:rsidR="00B029D9" w:rsidRPr="00B029D9" w:rsidRDefault="00B029D9" w:rsidP="00B029D9">
            <w:pPr>
              <w:ind w:left="720"/>
              <w:rPr>
                <w:lang w:val="fr-FR"/>
              </w:rPr>
            </w:pPr>
            <w:r w:rsidRPr="00B029D9">
              <w:rPr>
                <w:lang w:val="fr-FR"/>
              </w:rPr>
              <w:t>- Rapports précédents</w:t>
            </w:r>
          </w:p>
          <w:p w14:paraId="7358C001" w14:textId="77777777" w:rsidR="00B029D9" w:rsidRPr="00B029D9" w:rsidRDefault="00B029D9" w:rsidP="00B029D9">
            <w:pPr>
              <w:ind w:left="720"/>
              <w:rPr>
                <w:lang w:val="fr-FR"/>
              </w:rPr>
            </w:pPr>
            <w:r w:rsidRPr="00B029D9">
              <w:rPr>
                <w:lang w:val="fr-FR"/>
              </w:rPr>
              <w:t xml:space="preserve">- </w:t>
            </w:r>
            <w:r>
              <w:rPr>
                <w:lang w:val="fr-FR"/>
              </w:rPr>
              <w:t>Bases</w:t>
            </w:r>
            <w:r w:rsidRPr="00B029D9">
              <w:rPr>
                <w:lang w:val="fr-FR"/>
              </w:rPr>
              <w:t xml:space="preserve"> de données</w:t>
            </w:r>
          </w:p>
          <w:p w14:paraId="2ECAE7C4" w14:textId="77777777" w:rsidR="00B029D9" w:rsidRPr="00B029D9" w:rsidRDefault="00B029D9" w:rsidP="00B029D9">
            <w:pPr>
              <w:ind w:left="720"/>
              <w:rPr>
                <w:lang w:val="fr-FR"/>
              </w:rPr>
            </w:pPr>
            <w:r w:rsidRPr="00B029D9">
              <w:rPr>
                <w:lang w:val="fr-FR"/>
              </w:rPr>
              <w:t>- Do-fichiers</w:t>
            </w:r>
          </w:p>
          <w:p w14:paraId="392A185B" w14:textId="77777777" w:rsidR="00B029D9" w:rsidRPr="00B029D9" w:rsidRDefault="00B029D9" w:rsidP="00B029D9">
            <w:pPr>
              <w:ind w:left="720"/>
              <w:rPr>
                <w:lang w:val="fr-FR"/>
              </w:rPr>
            </w:pPr>
            <w:r w:rsidRPr="00B029D9">
              <w:rPr>
                <w:lang w:val="fr-FR"/>
              </w:rPr>
              <w:t>- Derniers rapports de ronde et do-fichiers</w:t>
            </w:r>
          </w:p>
          <w:p w14:paraId="1EF51FD8" w14:textId="77777777" w:rsidR="00B029D9" w:rsidRPr="00B029D9" w:rsidRDefault="00B029D9" w:rsidP="00B029D9">
            <w:pPr>
              <w:ind w:left="720"/>
              <w:rPr>
                <w:lang w:val="fr-FR"/>
              </w:rPr>
            </w:pPr>
            <w:r w:rsidRPr="00B029D9">
              <w:rPr>
                <w:lang w:val="fr-FR"/>
              </w:rPr>
              <w:t>- Documentation d'étude</w:t>
            </w:r>
          </w:p>
          <w:p w14:paraId="3CD37191" w14:textId="77777777" w:rsidR="00B029D9" w:rsidRDefault="00B029D9" w:rsidP="00B029D9">
            <w:pPr>
              <w:ind w:left="720"/>
              <w:rPr>
                <w:lang w:val="fr-FR"/>
              </w:rPr>
            </w:pPr>
            <w:r w:rsidRPr="00B029D9">
              <w:rPr>
                <w:lang w:val="fr-FR"/>
              </w:rPr>
              <w:t xml:space="preserve">- Échantillons </w:t>
            </w:r>
            <w:r>
              <w:rPr>
                <w:lang w:val="fr-FR"/>
              </w:rPr>
              <w:t>de MID</w:t>
            </w:r>
          </w:p>
          <w:p w14:paraId="16B8A830" w14:textId="77777777" w:rsidR="00FA066B" w:rsidRPr="00B029D9" w:rsidRDefault="00B029D9" w:rsidP="00B029D9">
            <w:pPr>
              <w:ind w:left="720"/>
              <w:rPr>
                <w:lang w:val="fr-FR"/>
              </w:rPr>
            </w:pPr>
            <w:r>
              <w:rPr>
                <w:lang w:val="fr-FR"/>
              </w:rPr>
              <w:t xml:space="preserve">- </w:t>
            </w:r>
            <w:r w:rsidRPr="00B029D9">
              <w:rPr>
                <w:lang w:val="fr-FR"/>
              </w:rPr>
              <w:t>Documents de l'EDT pour tous les sous-partenaires (par exemple, les laboratoires effectuant des essais biologiques)</w:t>
            </w:r>
          </w:p>
        </w:tc>
      </w:tr>
      <w:tr w:rsidR="00FA066B" w:rsidRPr="00B029D9" w14:paraId="1677274F" w14:textId="77777777" w:rsidTr="0043721D">
        <w:tc>
          <w:tcPr>
            <w:tcW w:w="1440" w:type="dxa"/>
          </w:tcPr>
          <w:p w14:paraId="6800A1C8" w14:textId="77777777" w:rsidR="00FA066B" w:rsidRPr="00B029D9" w:rsidRDefault="00B029D9" w:rsidP="0043721D">
            <w:pPr>
              <w:rPr>
                <w:lang w:val="fr-FR"/>
              </w:rPr>
            </w:pPr>
            <w:r>
              <w:rPr>
                <w:lang w:val="fr-FR"/>
              </w:rPr>
              <w:t>Janvier-Mars</w:t>
            </w:r>
          </w:p>
        </w:tc>
        <w:tc>
          <w:tcPr>
            <w:tcW w:w="7915" w:type="dxa"/>
          </w:tcPr>
          <w:p w14:paraId="7B4B6539" w14:textId="77777777" w:rsidR="00FA066B" w:rsidRPr="00B029D9" w:rsidRDefault="00B029D9" w:rsidP="00B029D9">
            <w:pPr>
              <w:rPr>
                <w:lang w:val="fr-FR"/>
              </w:rPr>
            </w:pPr>
            <w:r w:rsidRPr="00B029D9">
              <w:rPr>
                <w:lang w:val="fr-FR"/>
              </w:rPr>
              <w:t>La mission fait progresser le processus de reprogrammation et le nouveau boursier commence à rédiger un plan de travail et un budget. Le boursier de départ peut fournir des idées au besoin. Le nouveau boursier lance les approbations ou les mises à jour de la CISR nécessaires. Le nouveau boursier initie le processus de sous-</w:t>
            </w:r>
            <w:r>
              <w:rPr>
                <w:lang w:val="fr-FR"/>
              </w:rPr>
              <w:t>contrat</w:t>
            </w:r>
            <w:r w:rsidRPr="00B029D9">
              <w:rPr>
                <w:lang w:val="fr-FR"/>
              </w:rPr>
              <w:t xml:space="preserve"> / sous-</w:t>
            </w:r>
            <w:r>
              <w:rPr>
                <w:lang w:val="fr-FR"/>
              </w:rPr>
              <w:t>con</w:t>
            </w:r>
            <w:bookmarkStart w:id="0" w:name="_GoBack"/>
            <w:bookmarkEnd w:id="0"/>
            <w:r>
              <w:rPr>
                <w:lang w:val="fr-FR"/>
              </w:rPr>
              <w:t>trat</w:t>
            </w:r>
            <w:r w:rsidRPr="00B029D9">
              <w:rPr>
                <w:lang w:val="fr-FR"/>
              </w:rPr>
              <w:t xml:space="preserve"> avec tous les partenaires nécessaires.</w:t>
            </w:r>
          </w:p>
        </w:tc>
      </w:tr>
      <w:tr w:rsidR="00FA066B" w:rsidRPr="00B029D9" w14:paraId="2F60478B" w14:textId="77777777" w:rsidTr="0043721D">
        <w:tc>
          <w:tcPr>
            <w:tcW w:w="1440" w:type="dxa"/>
          </w:tcPr>
          <w:p w14:paraId="742BAEE1" w14:textId="77777777" w:rsidR="00FA066B" w:rsidRPr="00B029D9" w:rsidRDefault="00B029D9" w:rsidP="0043721D">
            <w:pPr>
              <w:rPr>
                <w:lang w:val="fr-FR"/>
              </w:rPr>
            </w:pPr>
            <w:r>
              <w:rPr>
                <w:lang w:val="fr-FR"/>
              </w:rPr>
              <w:t>Avril-Juin</w:t>
            </w:r>
          </w:p>
        </w:tc>
        <w:tc>
          <w:tcPr>
            <w:tcW w:w="7915" w:type="dxa"/>
          </w:tcPr>
          <w:p w14:paraId="4AE0DBE2" w14:textId="77777777" w:rsidR="00FA066B" w:rsidRPr="00B029D9" w:rsidRDefault="00B029D9" w:rsidP="0043721D">
            <w:pPr>
              <w:rPr>
                <w:lang w:val="fr-FR"/>
              </w:rPr>
            </w:pPr>
            <w:r w:rsidRPr="00B029D9">
              <w:rPr>
                <w:lang w:val="fr-FR"/>
              </w:rPr>
              <w:t>Les approbations d'obligations et de plan de travail et les approbations de sous-contrat / sous-traitance sont finalisées par Mission et le nouveau bénéficiaire. Le nouveau boursier engage du personnel supplémentaire qui pourrait être nécessaire.</w:t>
            </w:r>
          </w:p>
        </w:tc>
      </w:tr>
      <w:tr w:rsidR="00FA066B" w:rsidRPr="00B029D9" w14:paraId="598067EE" w14:textId="77777777" w:rsidTr="0043721D">
        <w:tc>
          <w:tcPr>
            <w:tcW w:w="1440" w:type="dxa"/>
          </w:tcPr>
          <w:p w14:paraId="1BA55C31" w14:textId="77777777" w:rsidR="00FA066B" w:rsidRPr="00B029D9" w:rsidRDefault="00B029D9" w:rsidP="0043721D">
            <w:pPr>
              <w:rPr>
                <w:lang w:val="fr-FR"/>
              </w:rPr>
            </w:pPr>
            <w:r>
              <w:rPr>
                <w:lang w:val="fr-FR"/>
              </w:rPr>
              <w:t>Juillet</w:t>
            </w:r>
            <w:r w:rsidR="00FA066B" w:rsidRPr="00B029D9">
              <w:rPr>
                <w:lang w:val="fr-FR"/>
              </w:rPr>
              <w:t>-</w:t>
            </w:r>
            <w:r w:rsidRPr="00B029D9">
              <w:rPr>
                <w:lang w:val="fr-FR"/>
              </w:rPr>
              <w:t>Septembre</w:t>
            </w:r>
          </w:p>
        </w:tc>
        <w:tc>
          <w:tcPr>
            <w:tcW w:w="7915" w:type="dxa"/>
          </w:tcPr>
          <w:p w14:paraId="31CE7C39" w14:textId="0BE9CFEC" w:rsidR="00FA066B" w:rsidRPr="00B029D9" w:rsidRDefault="00B029D9" w:rsidP="0043721D">
            <w:pPr>
              <w:rPr>
                <w:lang w:val="fr-FR"/>
              </w:rPr>
            </w:pPr>
            <w:r w:rsidRPr="00B029D9">
              <w:rPr>
                <w:lang w:val="fr-FR"/>
              </w:rPr>
              <w:t>Le nouveau boursier commence le processus de planification pour la prochaine ronde de collecte de données</w:t>
            </w:r>
            <w:r w:rsidR="005761D0">
              <w:rPr>
                <w:lang w:val="fr-FR"/>
              </w:rPr>
              <w:t xml:space="preserve"> </w:t>
            </w:r>
            <w:r w:rsidRPr="00B029D9">
              <w:rPr>
                <w:lang w:val="fr-FR"/>
              </w:rPr>
              <w:t>; préparation des étiquettes, sélection des agents de terrain, familiarité avec le terrain et les outils et ressources d'analyse.</w:t>
            </w:r>
          </w:p>
        </w:tc>
      </w:tr>
      <w:tr w:rsidR="00FA066B" w:rsidRPr="00B029D9" w14:paraId="45B8C704" w14:textId="77777777" w:rsidTr="0043721D">
        <w:tc>
          <w:tcPr>
            <w:tcW w:w="1440" w:type="dxa"/>
          </w:tcPr>
          <w:p w14:paraId="2E1FEB68" w14:textId="77777777" w:rsidR="00FA066B" w:rsidRPr="00B029D9" w:rsidRDefault="00B029D9" w:rsidP="0043721D">
            <w:pPr>
              <w:rPr>
                <w:lang w:val="fr-FR"/>
              </w:rPr>
            </w:pPr>
            <w:r w:rsidRPr="00B029D9">
              <w:rPr>
                <w:lang w:val="fr-FR"/>
              </w:rPr>
              <w:t>Octobre</w:t>
            </w:r>
          </w:p>
        </w:tc>
        <w:tc>
          <w:tcPr>
            <w:tcW w:w="7915" w:type="dxa"/>
          </w:tcPr>
          <w:p w14:paraId="1996B55F" w14:textId="77777777" w:rsidR="00FA066B" w:rsidRPr="00B029D9" w:rsidRDefault="00B029D9" w:rsidP="0043721D">
            <w:pPr>
              <w:rPr>
                <w:lang w:val="fr-FR"/>
              </w:rPr>
            </w:pPr>
            <w:r w:rsidRPr="00B029D9">
              <w:rPr>
                <w:lang w:val="fr-FR"/>
              </w:rPr>
              <w:t>Le nouveau boursier procède à la collecte des données</w:t>
            </w:r>
          </w:p>
        </w:tc>
      </w:tr>
    </w:tbl>
    <w:p w14:paraId="5CB7C58F" w14:textId="77777777" w:rsidR="00FA066B" w:rsidRPr="00B029D9" w:rsidRDefault="00FA066B" w:rsidP="00FA066B">
      <w:pPr>
        <w:pStyle w:val="ListParagraph"/>
        <w:rPr>
          <w:lang w:val="fr-FR"/>
        </w:rPr>
      </w:pPr>
    </w:p>
    <w:p w14:paraId="1122E860" w14:textId="77777777" w:rsidR="00FA066B" w:rsidRPr="00B029D9" w:rsidRDefault="00FA066B" w:rsidP="00FA066B">
      <w:pPr>
        <w:rPr>
          <w:lang w:val="fr-FR"/>
        </w:rPr>
      </w:pPr>
    </w:p>
    <w:sectPr w:rsidR="00FA066B" w:rsidRPr="00B029D9" w:rsidSect="00DC5BC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53138" w14:textId="77777777" w:rsidR="009F0351" w:rsidRDefault="009F0351" w:rsidP="00E43E32">
      <w:r>
        <w:separator/>
      </w:r>
    </w:p>
  </w:endnote>
  <w:endnote w:type="continuationSeparator" w:id="0">
    <w:p w14:paraId="4C86AF33" w14:textId="77777777" w:rsidR="009F0351" w:rsidRDefault="009F0351" w:rsidP="00E4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95596" w14:textId="77777777" w:rsidR="009F0351" w:rsidRDefault="009F0351" w:rsidP="00E43E32">
      <w:r>
        <w:separator/>
      </w:r>
    </w:p>
  </w:footnote>
  <w:footnote w:type="continuationSeparator" w:id="0">
    <w:p w14:paraId="469E0DFB" w14:textId="77777777" w:rsidR="009F0351" w:rsidRDefault="009F0351" w:rsidP="00E43E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6B4D4" w14:textId="604CC1BD" w:rsidR="00E43E32" w:rsidRDefault="00E43E32">
    <w:pPr>
      <w:pStyle w:val="Header"/>
    </w:pPr>
    <w:r>
      <w:t>Oct 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B20A2"/>
    <w:multiLevelType w:val="hybridMultilevel"/>
    <w:tmpl w:val="4790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B54A7"/>
    <w:multiLevelType w:val="hybridMultilevel"/>
    <w:tmpl w:val="D5164176"/>
    <w:lvl w:ilvl="0" w:tplc="209A3C3A">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nsid w:val="1D602B31"/>
    <w:multiLevelType w:val="hybridMultilevel"/>
    <w:tmpl w:val="4016E5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68014FA"/>
    <w:multiLevelType w:val="hybridMultilevel"/>
    <w:tmpl w:val="BD7830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3719FC"/>
    <w:multiLevelType w:val="hybridMultilevel"/>
    <w:tmpl w:val="84A8A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893"/>
    <w:rsid w:val="00010A8B"/>
    <w:rsid w:val="001E7149"/>
    <w:rsid w:val="003A3FFD"/>
    <w:rsid w:val="005761D0"/>
    <w:rsid w:val="00706893"/>
    <w:rsid w:val="00832FC7"/>
    <w:rsid w:val="009F0351"/>
    <w:rsid w:val="00B029D9"/>
    <w:rsid w:val="00B82635"/>
    <w:rsid w:val="00DB68E8"/>
    <w:rsid w:val="00DC5BCF"/>
    <w:rsid w:val="00E43E32"/>
    <w:rsid w:val="00EC1A12"/>
    <w:rsid w:val="00FA066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B383E7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89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689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689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06893"/>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06893"/>
    <w:pPr>
      <w:spacing w:after="200"/>
    </w:pPr>
    <w:rPr>
      <w:i/>
      <w:iCs/>
      <w:color w:val="44546A" w:themeColor="text2"/>
      <w:sz w:val="18"/>
      <w:szCs w:val="18"/>
    </w:rPr>
  </w:style>
  <w:style w:type="character" w:customStyle="1" w:styleId="Heading1Char">
    <w:name w:val="Heading 1 Char"/>
    <w:basedOn w:val="DefaultParagraphFont"/>
    <w:link w:val="Heading1"/>
    <w:uiPriority w:val="9"/>
    <w:rsid w:val="00706893"/>
    <w:rPr>
      <w:rFonts w:asciiTheme="majorHAnsi" w:eastAsiaTheme="majorEastAsia" w:hAnsiTheme="majorHAnsi" w:cstheme="majorBidi"/>
      <w:color w:val="2F5496" w:themeColor="accent1" w:themeShade="BF"/>
      <w:sz w:val="32"/>
      <w:szCs w:val="32"/>
    </w:rPr>
  </w:style>
  <w:style w:type="paragraph" w:styleId="DocumentMap">
    <w:name w:val="Document Map"/>
    <w:basedOn w:val="Normal"/>
    <w:link w:val="DocumentMapChar"/>
    <w:uiPriority w:val="99"/>
    <w:semiHidden/>
    <w:unhideWhenUsed/>
    <w:rsid w:val="00706893"/>
    <w:rPr>
      <w:rFonts w:ascii="Times New Roman" w:hAnsi="Times New Roman" w:cs="Times New Roman"/>
    </w:rPr>
  </w:style>
  <w:style w:type="character" w:customStyle="1" w:styleId="DocumentMapChar">
    <w:name w:val="Document Map Char"/>
    <w:basedOn w:val="DefaultParagraphFont"/>
    <w:link w:val="DocumentMap"/>
    <w:uiPriority w:val="99"/>
    <w:semiHidden/>
    <w:rsid w:val="00706893"/>
    <w:rPr>
      <w:rFonts w:ascii="Times New Roman" w:hAnsi="Times New Roman" w:cs="Times New Roman"/>
    </w:rPr>
  </w:style>
  <w:style w:type="paragraph" w:styleId="ListParagraph">
    <w:name w:val="List Paragraph"/>
    <w:basedOn w:val="Normal"/>
    <w:uiPriority w:val="34"/>
    <w:qFormat/>
    <w:rsid w:val="00706893"/>
    <w:pPr>
      <w:ind w:left="720"/>
      <w:contextualSpacing/>
    </w:pPr>
  </w:style>
  <w:style w:type="paragraph" w:styleId="Header">
    <w:name w:val="header"/>
    <w:basedOn w:val="Normal"/>
    <w:link w:val="HeaderChar"/>
    <w:uiPriority w:val="99"/>
    <w:unhideWhenUsed/>
    <w:rsid w:val="00E43E32"/>
    <w:pPr>
      <w:tabs>
        <w:tab w:val="center" w:pos="4680"/>
        <w:tab w:val="right" w:pos="9360"/>
      </w:tabs>
    </w:pPr>
  </w:style>
  <w:style w:type="character" w:customStyle="1" w:styleId="HeaderChar">
    <w:name w:val="Header Char"/>
    <w:basedOn w:val="DefaultParagraphFont"/>
    <w:link w:val="Header"/>
    <w:uiPriority w:val="99"/>
    <w:rsid w:val="00E43E32"/>
  </w:style>
  <w:style w:type="paragraph" w:styleId="Footer">
    <w:name w:val="footer"/>
    <w:basedOn w:val="Normal"/>
    <w:link w:val="FooterChar"/>
    <w:uiPriority w:val="99"/>
    <w:unhideWhenUsed/>
    <w:rsid w:val="00E43E32"/>
    <w:pPr>
      <w:tabs>
        <w:tab w:val="center" w:pos="4680"/>
        <w:tab w:val="right" w:pos="9360"/>
      </w:tabs>
    </w:pPr>
  </w:style>
  <w:style w:type="character" w:customStyle="1" w:styleId="FooterChar">
    <w:name w:val="Footer Char"/>
    <w:basedOn w:val="DefaultParagraphFont"/>
    <w:link w:val="Footer"/>
    <w:uiPriority w:val="99"/>
    <w:rsid w:val="00E43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1425</Words>
  <Characters>8125</Characters>
  <Application>Microsoft Macintosh Word</Application>
  <DocSecurity>0</DocSecurity>
  <Lines>67</Lines>
  <Paragraphs>19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Considérations clés pour le processus de transfert</vt:lpstr>
      <vt:lpstr>Calendrier des évènements</vt:lpstr>
    </vt:vector>
  </TitlesOfParts>
  <Company>JHUCCP</Company>
  <LinksUpToDate>false</LinksUpToDate>
  <CharactersWithSpaces>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Koenker</dc:creator>
  <cp:keywords/>
  <dc:description/>
  <cp:lastModifiedBy>Hannah Koenker</cp:lastModifiedBy>
  <cp:revision>3</cp:revision>
  <dcterms:created xsi:type="dcterms:W3CDTF">2017-11-15T21:37:00Z</dcterms:created>
  <dcterms:modified xsi:type="dcterms:W3CDTF">2017-11-15T21:58:00Z</dcterms:modified>
</cp:coreProperties>
</file>