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9C22" w14:textId="79D8454D" w:rsidR="00A94470" w:rsidRPr="009B3B7E" w:rsidRDefault="00A94470" w:rsidP="004B04AF">
      <w:pPr>
        <w:rPr>
          <w:rFonts w:ascii="Calibri" w:hAnsi="Calibri" w:cs="Arial"/>
        </w:rPr>
      </w:pPr>
    </w:p>
    <w:p w14:paraId="0F67BDBD" w14:textId="78E7A357" w:rsidR="00A94470" w:rsidRPr="009B3B7E" w:rsidRDefault="00C92AF2" w:rsidP="00A94470">
      <w:pPr>
        <w:jc w:val="center"/>
        <w:rPr>
          <w:rFonts w:ascii="Calibri" w:hAnsi="Calibri" w:cs="Arial"/>
        </w:rPr>
      </w:pPr>
      <w:r w:rsidRPr="00C92AF2">
        <w:rPr>
          <w:rFonts w:ascii="Calibri" w:eastAsia="Calibri" w:hAnsi="Calibri" w:cs="Arial"/>
          <w:noProof/>
          <w:lang w:val="en-US" w:eastAsia="en-US" w:bidi="ar-SA"/>
        </w:rPr>
        <w:drawing>
          <wp:anchor distT="0" distB="0" distL="114300" distR="114300" simplePos="0" relativeHeight="251659264" behindDoc="0" locked="0" layoutInCell="1" allowOverlap="1" wp14:anchorId="78BC4DFB" wp14:editId="7CDA00A4">
            <wp:simplePos x="0" y="0"/>
            <wp:positionH relativeFrom="column">
              <wp:posOffset>737870</wp:posOffset>
            </wp:positionH>
            <wp:positionV relativeFrom="paragraph">
              <wp:posOffset>24765</wp:posOffset>
            </wp:positionV>
            <wp:extent cx="4146224" cy="1031240"/>
            <wp:effectExtent l="0" t="0" r="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1">
                      <a:extLst>
                        <a:ext uri="{28A0092B-C50C-407E-A947-70E740481C1C}">
                          <a14:useLocalDpi xmlns:a14="http://schemas.microsoft.com/office/drawing/2010/main" val="0"/>
                        </a:ext>
                      </a:extLst>
                    </a:blip>
                    <a:stretch>
                      <a:fillRect/>
                    </a:stretch>
                  </pic:blipFill>
                  <pic:spPr>
                    <a:xfrm>
                      <a:off x="0" y="0"/>
                      <a:ext cx="4146224" cy="1031240"/>
                    </a:xfrm>
                    <a:prstGeom prst="rect">
                      <a:avLst/>
                    </a:prstGeom>
                  </pic:spPr>
                </pic:pic>
              </a:graphicData>
            </a:graphic>
            <wp14:sizeRelH relativeFrom="page">
              <wp14:pctWidth>0</wp14:pctWidth>
            </wp14:sizeRelH>
            <wp14:sizeRelV relativeFrom="page">
              <wp14:pctHeight>0</wp14:pctHeight>
            </wp14:sizeRelV>
          </wp:anchor>
        </w:drawing>
      </w:r>
    </w:p>
    <w:p w14:paraId="19E6B907" w14:textId="77777777" w:rsidR="00A94470" w:rsidRPr="009B3B7E" w:rsidRDefault="00A94470" w:rsidP="00A94470">
      <w:pPr>
        <w:jc w:val="center"/>
        <w:rPr>
          <w:rFonts w:ascii="Calibri" w:hAnsi="Calibri" w:cs="Arial"/>
        </w:rPr>
      </w:pPr>
    </w:p>
    <w:p w14:paraId="43551251" w14:textId="77777777" w:rsidR="00A94470" w:rsidRPr="009B3B7E" w:rsidRDefault="00A94470" w:rsidP="00A94470">
      <w:pPr>
        <w:jc w:val="center"/>
        <w:rPr>
          <w:rFonts w:ascii="Calibri" w:hAnsi="Calibri" w:cs="Arial"/>
        </w:rPr>
      </w:pPr>
    </w:p>
    <w:p w14:paraId="31AC7FEC" w14:textId="77777777" w:rsidR="00A94470" w:rsidRPr="009B3B7E" w:rsidRDefault="00A94470" w:rsidP="00A94470">
      <w:pPr>
        <w:jc w:val="center"/>
        <w:rPr>
          <w:rFonts w:ascii="Calibri" w:hAnsi="Calibri" w:cs="Arial"/>
        </w:rPr>
      </w:pPr>
    </w:p>
    <w:p w14:paraId="41B45A0D" w14:textId="77777777" w:rsidR="00A94470" w:rsidRPr="009B3B7E" w:rsidRDefault="00A94470" w:rsidP="00A94470">
      <w:pPr>
        <w:jc w:val="center"/>
        <w:rPr>
          <w:rFonts w:ascii="Calibri" w:hAnsi="Calibri" w:cs="Arial"/>
        </w:rPr>
      </w:pPr>
    </w:p>
    <w:p w14:paraId="3EEF6BFB" w14:textId="77777777" w:rsidR="00A94470" w:rsidRPr="009B3B7E" w:rsidRDefault="00A94470" w:rsidP="00A94470">
      <w:pPr>
        <w:jc w:val="center"/>
        <w:rPr>
          <w:rFonts w:ascii="Calibri" w:hAnsi="Calibri" w:cs="Arial"/>
          <w:b/>
          <w:sz w:val="44"/>
          <w:szCs w:val="44"/>
        </w:rPr>
      </w:pPr>
      <w:r w:rsidRPr="009B3B7E">
        <w:rPr>
          <w:rFonts w:ascii="Calibri" w:hAnsi="Calibri"/>
          <w:b/>
          <w:sz w:val="44"/>
        </w:rPr>
        <w:t>Protocole d’étude</w:t>
      </w:r>
    </w:p>
    <w:p w14:paraId="020E4C10" w14:textId="77777777" w:rsidR="00A94470" w:rsidRPr="009B3B7E" w:rsidRDefault="00A94470" w:rsidP="00A94470">
      <w:pPr>
        <w:jc w:val="center"/>
        <w:rPr>
          <w:rFonts w:ascii="Calibri" w:hAnsi="Calibri" w:cs="Arial"/>
        </w:rPr>
      </w:pPr>
    </w:p>
    <w:p w14:paraId="7988A70C" w14:textId="77777777" w:rsidR="00A94470" w:rsidRPr="009B3B7E" w:rsidRDefault="00A94470" w:rsidP="00A94470">
      <w:pPr>
        <w:jc w:val="center"/>
        <w:rPr>
          <w:rFonts w:ascii="Calibri" w:hAnsi="Calibri" w:cs="Arial"/>
        </w:rPr>
      </w:pPr>
    </w:p>
    <w:p w14:paraId="0A7D8222" w14:textId="77777777" w:rsidR="00A94470" w:rsidRPr="009B3B7E" w:rsidRDefault="00A94470" w:rsidP="00A94470">
      <w:pPr>
        <w:jc w:val="center"/>
        <w:rPr>
          <w:rFonts w:ascii="Calibri" w:hAnsi="Calibri" w:cs="Arial"/>
        </w:rPr>
      </w:pPr>
    </w:p>
    <w:p w14:paraId="0BF605D5" w14:textId="77777777" w:rsidR="00A94470" w:rsidRPr="009B3B7E" w:rsidRDefault="00A94470" w:rsidP="00A94470">
      <w:pPr>
        <w:jc w:val="center"/>
        <w:rPr>
          <w:rFonts w:ascii="Calibri" w:hAnsi="Calibri" w:cs="Arial"/>
        </w:rPr>
      </w:pPr>
    </w:p>
    <w:p w14:paraId="784A67AF" w14:textId="77777777" w:rsidR="00A94470" w:rsidRPr="009B3B7E" w:rsidRDefault="00A94470" w:rsidP="00A94470">
      <w:pPr>
        <w:jc w:val="center"/>
        <w:rPr>
          <w:rFonts w:ascii="Calibri" w:hAnsi="Calibri" w:cs="Arial"/>
          <w:b/>
          <w:i/>
          <w:sz w:val="40"/>
          <w:szCs w:val="40"/>
        </w:rPr>
      </w:pPr>
      <w:r w:rsidRPr="009B3B7E">
        <w:rPr>
          <w:rFonts w:ascii="Calibri" w:hAnsi="Calibri"/>
          <w:b/>
          <w:sz w:val="40"/>
        </w:rPr>
        <w:t xml:space="preserve">Surveillance de la durabilité des moustiquaires imprégnées d’insecticide à longue durée d’action </w:t>
      </w:r>
      <w:proofErr w:type="gramStart"/>
      <w:r w:rsidRPr="009B3B7E">
        <w:rPr>
          <w:rFonts w:ascii="Calibri" w:hAnsi="Calibri"/>
          <w:b/>
          <w:sz w:val="40"/>
        </w:rPr>
        <w:t>au</w:t>
      </w:r>
      <w:proofErr w:type="gramEnd"/>
      <w:r w:rsidRPr="009B3B7E">
        <w:rPr>
          <w:rFonts w:ascii="Calibri" w:hAnsi="Calibri"/>
          <w:b/>
          <w:sz w:val="40"/>
        </w:rPr>
        <w:t xml:space="preserve">/en/à </w:t>
      </w:r>
      <w:commentRangeStart w:id="0"/>
      <w:r w:rsidRPr="009B3B7E">
        <w:rPr>
          <w:rFonts w:ascii="Calibri" w:hAnsi="Calibri"/>
          <w:b/>
          <w:sz w:val="40"/>
        </w:rPr>
        <w:t>(</w:t>
      </w:r>
      <w:r w:rsidRPr="009B3B7E">
        <w:rPr>
          <w:rFonts w:ascii="Calibri" w:hAnsi="Calibri"/>
          <w:b/>
          <w:i/>
          <w:sz w:val="40"/>
        </w:rPr>
        <w:t>pays et/ou sites)</w:t>
      </w:r>
      <w:commentRangeEnd w:id="0"/>
      <w:r w:rsidRPr="009B3B7E">
        <w:rPr>
          <w:rStyle w:val="CommentReference"/>
        </w:rPr>
        <w:commentReference w:id="0"/>
      </w:r>
    </w:p>
    <w:p w14:paraId="5978A453" w14:textId="77777777" w:rsidR="00A94470" w:rsidRPr="009B3B7E" w:rsidRDefault="00A94470" w:rsidP="00A94470">
      <w:pPr>
        <w:rPr>
          <w:rFonts w:ascii="Calibri" w:hAnsi="Calibri" w:cs="Arial"/>
        </w:rPr>
      </w:pPr>
    </w:p>
    <w:p w14:paraId="0444F8D2" w14:textId="77777777" w:rsidR="00A94470" w:rsidRPr="009B3B7E" w:rsidRDefault="00A94470" w:rsidP="00A94470">
      <w:pPr>
        <w:rPr>
          <w:rFonts w:ascii="Calibri" w:hAnsi="Calibri" w:cs="Arial"/>
        </w:rPr>
      </w:pPr>
    </w:p>
    <w:p w14:paraId="650A3CA5" w14:textId="77777777" w:rsidR="00A94470" w:rsidRPr="009B3B7E" w:rsidRDefault="00A94470" w:rsidP="00A94470">
      <w:pPr>
        <w:rPr>
          <w:rFonts w:ascii="Calibri" w:hAnsi="Calibri"/>
        </w:rPr>
      </w:pPr>
    </w:p>
    <w:p w14:paraId="54C57429" w14:textId="77777777" w:rsidR="00A94470" w:rsidRPr="009B3B7E" w:rsidRDefault="00A94470" w:rsidP="00A94470">
      <w:pPr>
        <w:rPr>
          <w:rFonts w:ascii="Calibri" w:hAnsi="Calibri"/>
        </w:rPr>
      </w:pPr>
    </w:p>
    <w:p w14:paraId="36062A27" w14:textId="77777777" w:rsidR="00A94470" w:rsidRPr="009B3B7E" w:rsidRDefault="00A94470" w:rsidP="00A94470">
      <w:pPr>
        <w:rPr>
          <w:rFonts w:ascii="Calibri" w:hAnsi="Calibri"/>
        </w:rPr>
      </w:pPr>
    </w:p>
    <w:p w14:paraId="258BEB2B" w14:textId="77777777" w:rsidR="00A94470" w:rsidRPr="009B3B7E" w:rsidRDefault="00A94470" w:rsidP="00A94470">
      <w:pPr>
        <w:rPr>
          <w:rFonts w:ascii="Calibri" w:hAnsi="Calibri"/>
        </w:rPr>
      </w:pPr>
    </w:p>
    <w:p w14:paraId="03C991AA" w14:textId="77777777" w:rsidR="00A94470" w:rsidRPr="009B3B7E" w:rsidRDefault="00C6123A" w:rsidP="00A94470">
      <w:pPr>
        <w:jc w:val="center"/>
        <w:rPr>
          <w:rFonts w:ascii="Calibri" w:hAnsi="Calibri" w:cs="Arial"/>
          <w:i/>
        </w:rPr>
      </w:pPr>
      <w:bookmarkStart w:id="1" w:name="OLE_LINK1"/>
      <w:bookmarkStart w:id="2" w:name="OLE_LINK2"/>
      <w:commentRangeStart w:id="3"/>
      <w:r w:rsidRPr="009B3B7E">
        <w:rPr>
          <w:rFonts w:ascii="Calibri" w:hAnsi="Calibri"/>
          <w:i/>
        </w:rPr>
        <w:t>Date</w:t>
      </w:r>
      <w:commentRangeEnd w:id="3"/>
      <w:r w:rsidRPr="009B3B7E">
        <w:rPr>
          <w:rStyle w:val="CommentReference"/>
        </w:rPr>
        <w:commentReference w:id="3"/>
      </w:r>
    </w:p>
    <w:bookmarkEnd w:id="1"/>
    <w:bookmarkEnd w:id="2"/>
    <w:p w14:paraId="66E5CD58" w14:textId="77777777" w:rsidR="0018533A" w:rsidRPr="009B3B7E" w:rsidRDefault="00A94470" w:rsidP="00A94470">
      <w:pPr>
        <w:pStyle w:val="Heading1"/>
      </w:pPr>
      <w:r w:rsidRPr="009B3B7E">
        <w:br w:type="page"/>
      </w:r>
    </w:p>
    <w:sdt>
      <w:sdtPr>
        <w:rPr>
          <w:rFonts w:asciiTheme="minorHAnsi" w:eastAsiaTheme="minorEastAsia" w:hAnsiTheme="minorHAnsi" w:cstheme="minorBidi"/>
          <w:b w:val="0"/>
          <w:bCs w:val="0"/>
          <w:color w:val="auto"/>
          <w:sz w:val="22"/>
          <w:szCs w:val="22"/>
        </w:rPr>
        <w:id w:val="2111540452"/>
        <w:docPartObj>
          <w:docPartGallery w:val="Table of Contents"/>
          <w:docPartUnique/>
        </w:docPartObj>
      </w:sdtPr>
      <w:sdtEndPr>
        <w:rPr>
          <w:noProof/>
        </w:rPr>
      </w:sdtEndPr>
      <w:sdtContent>
        <w:p w14:paraId="190397B7" w14:textId="77777777" w:rsidR="0018533A" w:rsidRPr="009B3B7E" w:rsidRDefault="0018533A" w:rsidP="00B0244B">
          <w:pPr>
            <w:pStyle w:val="TOCHeading"/>
            <w:spacing w:before="0" w:line="240" w:lineRule="auto"/>
          </w:pPr>
          <w:r w:rsidRPr="009B3B7E">
            <w:t>Table des matières</w:t>
          </w:r>
        </w:p>
        <w:p w14:paraId="5CADC939" w14:textId="0B8EFECB" w:rsidR="00FF6D94" w:rsidRDefault="0018533A">
          <w:pPr>
            <w:pStyle w:val="TOC1"/>
            <w:tabs>
              <w:tab w:val="left" w:pos="440"/>
              <w:tab w:val="right" w:leader="dot" w:pos="8630"/>
            </w:tabs>
            <w:rPr>
              <w:noProof/>
              <w:lang w:val="fr-CA" w:eastAsia="zh-CN" w:bidi="ar-SA"/>
            </w:rPr>
          </w:pPr>
          <w:r w:rsidRPr="009B3B7E">
            <w:fldChar w:fldCharType="begin"/>
          </w:r>
          <w:r w:rsidRPr="009B3B7E">
            <w:instrText xml:space="preserve"> TOC \o "1-3" \h \z \u </w:instrText>
          </w:r>
          <w:r w:rsidRPr="009B3B7E">
            <w:fldChar w:fldCharType="separate"/>
          </w:r>
          <w:hyperlink w:anchor="_Toc465080727" w:history="1">
            <w:r w:rsidR="00FF6D94" w:rsidRPr="00E95EF8">
              <w:rPr>
                <w:rStyle w:val="Hyperlink"/>
                <w:noProof/>
              </w:rPr>
              <w:t>1</w:t>
            </w:r>
            <w:r w:rsidR="00FF6D94">
              <w:rPr>
                <w:noProof/>
                <w:lang w:val="fr-CA" w:eastAsia="zh-CN" w:bidi="ar-SA"/>
              </w:rPr>
              <w:tab/>
            </w:r>
            <w:r w:rsidR="00FF6D94" w:rsidRPr="00E95EF8">
              <w:rPr>
                <w:rStyle w:val="Hyperlink"/>
                <w:noProof/>
              </w:rPr>
              <w:t>Contexte</w:t>
            </w:r>
            <w:r w:rsidR="00FF6D94">
              <w:rPr>
                <w:noProof/>
                <w:webHidden/>
              </w:rPr>
              <w:tab/>
            </w:r>
            <w:r w:rsidR="00FF6D94">
              <w:rPr>
                <w:noProof/>
                <w:webHidden/>
              </w:rPr>
              <w:fldChar w:fldCharType="begin"/>
            </w:r>
            <w:r w:rsidR="00FF6D94">
              <w:rPr>
                <w:noProof/>
                <w:webHidden/>
              </w:rPr>
              <w:instrText xml:space="preserve"> PAGEREF _Toc465080727 \h </w:instrText>
            </w:r>
            <w:r w:rsidR="00FF6D94">
              <w:rPr>
                <w:noProof/>
                <w:webHidden/>
              </w:rPr>
            </w:r>
            <w:r w:rsidR="00FF6D94">
              <w:rPr>
                <w:noProof/>
                <w:webHidden/>
              </w:rPr>
              <w:fldChar w:fldCharType="separate"/>
            </w:r>
            <w:r w:rsidR="00FF6D94">
              <w:rPr>
                <w:noProof/>
                <w:webHidden/>
              </w:rPr>
              <w:t>3</w:t>
            </w:r>
            <w:r w:rsidR="00FF6D94">
              <w:rPr>
                <w:noProof/>
                <w:webHidden/>
              </w:rPr>
              <w:fldChar w:fldCharType="end"/>
            </w:r>
          </w:hyperlink>
        </w:p>
        <w:p w14:paraId="120D691A" w14:textId="3B4F3F34" w:rsidR="00FF6D94" w:rsidRDefault="00F8247E">
          <w:pPr>
            <w:pStyle w:val="TOC2"/>
            <w:tabs>
              <w:tab w:val="left" w:pos="880"/>
              <w:tab w:val="right" w:leader="dot" w:pos="8630"/>
            </w:tabs>
            <w:rPr>
              <w:noProof/>
              <w:lang w:val="fr-CA" w:eastAsia="zh-CN" w:bidi="ar-SA"/>
            </w:rPr>
          </w:pPr>
          <w:hyperlink w:anchor="_Toc465080728" w:history="1">
            <w:r w:rsidR="00FF6D94" w:rsidRPr="00E95EF8">
              <w:rPr>
                <w:rStyle w:val="Hyperlink"/>
                <w:noProof/>
              </w:rPr>
              <w:t>1.1</w:t>
            </w:r>
            <w:r w:rsidR="00FF6D94">
              <w:rPr>
                <w:noProof/>
                <w:lang w:val="fr-CA" w:eastAsia="zh-CN" w:bidi="ar-SA"/>
              </w:rPr>
              <w:tab/>
            </w:r>
            <w:r w:rsidR="00FF6D94" w:rsidRPr="00E95EF8">
              <w:rPr>
                <w:rStyle w:val="Hyperlink"/>
                <w:noProof/>
              </w:rPr>
              <w:t>Objectifs</w:t>
            </w:r>
            <w:r w:rsidR="00FF6D94">
              <w:rPr>
                <w:noProof/>
                <w:webHidden/>
              </w:rPr>
              <w:tab/>
            </w:r>
            <w:r w:rsidR="00FF6D94">
              <w:rPr>
                <w:noProof/>
                <w:webHidden/>
              </w:rPr>
              <w:fldChar w:fldCharType="begin"/>
            </w:r>
            <w:r w:rsidR="00FF6D94">
              <w:rPr>
                <w:noProof/>
                <w:webHidden/>
              </w:rPr>
              <w:instrText xml:space="preserve"> PAGEREF _Toc465080728 \h </w:instrText>
            </w:r>
            <w:r w:rsidR="00FF6D94">
              <w:rPr>
                <w:noProof/>
                <w:webHidden/>
              </w:rPr>
            </w:r>
            <w:r w:rsidR="00FF6D94">
              <w:rPr>
                <w:noProof/>
                <w:webHidden/>
              </w:rPr>
              <w:fldChar w:fldCharType="separate"/>
            </w:r>
            <w:r w:rsidR="00FF6D94">
              <w:rPr>
                <w:noProof/>
                <w:webHidden/>
              </w:rPr>
              <w:t>4</w:t>
            </w:r>
            <w:r w:rsidR="00FF6D94">
              <w:rPr>
                <w:noProof/>
                <w:webHidden/>
              </w:rPr>
              <w:fldChar w:fldCharType="end"/>
            </w:r>
          </w:hyperlink>
        </w:p>
        <w:p w14:paraId="2785B24F" w14:textId="7E476F62" w:rsidR="00FF6D94" w:rsidRDefault="00F8247E">
          <w:pPr>
            <w:pStyle w:val="TOC2"/>
            <w:tabs>
              <w:tab w:val="left" w:pos="880"/>
              <w:tab w:val="right" w:leader="dot" w:pos="8630"/>
            </w:tabs>
            <w:rPr>
              <w:noProof/>
              <w:lang w:val="fr-CA" w:eastAsia="zh-CN" w:bidi="ar-SA"/>
            </w:rPr>
          </w:pPr>
          <w:hyperlink w:anchor="_Toc465080729" w:history="1">
            <w:r w:rsidR="00FF6D94" w:rsidRPr="00E95EF8">
              <w:rPr>
                <w:rStyle w:val="Hyperlink"/>
                <w:noProof/>
              </w:rPr>
              <w:t>1.2</w:t>
            </w:r>
            <w:r w:rsidR="00FF6D94">
              <w:rPr>
                <w:noProof/>
                <w:lang w:val="fr-CA" w:eastAsia="zh-CN" w:bidi="ar-SA"/>
              </w:rPr>
              <w:tab/>
            </w:r>
            <w:r w:rsidR="00FF6D94" w:rsidRPr="00E95EF8">
              <w:rPr>
                <w:rStyle w:val="Hyperlink"/>
                <w:noProof/>
              </w:rPr>
              <w:t>Avantages et valeur attendus</w:t>
            </w:r>
            <w:r w:rsidR="00FF6D94">
              <w:rPr>
                <w:noProof/>
                <w:webHidden/>
              </w:rPr>
              <w:tab/>
            </w:r>
            <w:r w:rsidR="00FF6D94">
              <w:rPr>
                <w:noProof/>
                <w:webHidden/>
              </w:rPr>
              <w:fldChar w:fldCharType="begin"/>
            </w:r>
            <w:r w:rsidR="00FF6D94">
              <w:rPr>
                <w:noProof/>
                <w:webHidden/>
              </w:rPr>
              <w:instrText xml:space="preserve"> PAGEREF _Toc465080729 \h </w:instrText>
            </w:r>
            <w:r w:rsidR="00FF6D94">
              <w:rPr>
                <w:noProof/>
                <w:webHidden/>
              </w:rPr>
            </w:r>
            <w:r w:rsidR="00FF6D94">
              <w:rPr>
                <w:noProof/>
                <w:webHidden/>
              </w:rPr>
              <w:fldChar w:fldCharType="separate"/>
            </w:r>
            <w:r w:rsidR="00FF6D94">
              <w:rPr>
                <w:noProof/>
                <w:webHidden/>
              </w:rPr>
              <w:t>4</w:t>
            </w:r>
            <w:r w:rsidR="00FF6D94">
              <w:rPr>
                <w:noProof/>
                <w:webHidden/>
              </w:rPr>
              <w:fldChar w:fldCharType="end"/>
            </w:r>
          </w:hyperlink>
        </w:p>
        <w:p w14:paraId="4F164C73" w14:textId="645B2C4C" w:rsidR="00FF6D94" w:rsidRDefault="00F8247E">
          <w:pPr>
            <w:pStyle w:val="TOC1"/>
            <w:tabs>
              <w:tab w:val="left" w:pos="440"/>
              <w:tab w:val="right" w:leader="dot" w:pos="8630"/>
            </w:tabs>
            <w:rPr>
              <w:noProof/>
              <w:lang w:val="fr-CA" w:eastAsia="zh-CN" w:bidi="ar-SA"/>
            </w:rPr>
          </w:pPr>
          <w:hyperlink w:anchor="_Toc465080730" w:history="1">
            <w:r w:rsidR="00FF6D94" w:rsidRPr="00E95EF8">
              <w:rPr>
                <w:rStyle w:val="Hyperlink"/>
                <w:noProof/>
              </w:rPr>
              <w:t>2</w:t>
            </w:r>
            <w:r w:rsidR="00FF6D94">
              <w:rPr>
                <w:noProof/>
                <w:lang w:val="fr-CA" w:eastAsia="zh-CN" w:bidi="ar-SA"/>
              </w:rPr>
              <w:tab/>
            </w:r>
            <w:r w:rsidR="00FF6D94" w:rsidRPr="00E95EF8">
              <w:rPr>
                <w:rStyle w:val="Hyperlink"/>
                <w:noProof/>
              </w:rPr>
              <w:t>Méthodologies</w:t>
            </w:r>
            <w:r w:rsidR="00FF6D94">
              <w:rPr>
                <w:noProof/>
                <w:webHidden/>
              </w:rPr>
              <w:tab/>
            </w:r>
            <w:r w:rsidR="00FF6D94">
              <w:rPr>
                <w:noProof/>
                <w:webHidden/>
              </w:rPr>
              <w:fldChar w:fldCharType="begin"/>
            </w:r>
            <w:r w:rsidR="00FF6D94">
              <w:rPr>
                <w:noProof/>
                <w:webHidden/>
              </w:rPr>
              <w:instrText xml:space="preserve"> PAGEREF _Toc465080730 \h </w:instrText>
            </w:r>
            <w:r w:rsidR="00FF6D94">
              <w:rPr>
                <w:noProof/>
                <w:webHidden/>
              </w:rPr>
            </w:r>
            <w:r w:rsidR="00FF6D94">
              <w:rPr>
                <w:noProof/>
                <w:webHidden/>
              </w:rPr>
              <w:fldChar w:fldCharType="separate"/>
            </w:r>
            <w:r w:rsidR="00FF6D94">
              <w:rPr>
                <w:noProof/>
                <w:webHidden/>
              </w:rPr>
              <w:t>4</w:t>
            </w:r>
            <w:r w:rsidR="00FF6D94">
              <w:rPr>
                <w:noProof/>
                <w:webHidden/>
              </w:rPr>
              <w:fldChar w:fldCharType="end"/>
            </w:r>
          </w:hyperlink>
        </w:p>
        <w:p w14:paraId="257FCA1F" w14:textId="4E707BD9" w:rsidR="00FF6D94" w:rsidRDefault="00F8247E">
          <w:pPr>
            <w:pStyle w:val="TOC2"/>
            <w:tabs>
              <w:tab w:val="left" w:pos="880"/>
              <w:tab w:val="right" w:leader="dot" w:pos="8630"/>
            </w:tabs>
            <w:rPr>
              <w:noProof/>
              <w:lang w:val="fr-CA" w:eastAsia="zh-CN" w:bidi="ar-SA"/>
            </w:rPr>
          </w:pPr>
          <w:hyperlink w:anchor="_Toc465080731" w:history="1">
            <w:r w:rsidR="00FF6D94" w:rsidRPr="00E95EF8">
              <w:rPr>
                <w:rStyle w:val="Hyperlink"/>
                <w:noProof/>
              </w:rPr>
              <w:t>2.1</w:t>
            </w:r>
            <w:r w:rsidR="00FF6D94">
              <w:rPr>
                <w:noProof/>
                <w:lang w:val="fr-CA" w:eastAsia="zh-CN" w:bidi="ar-SA"/>
              </w:rPr>
              <w:tab/>
            </w:r>
            <w:r w:rsidR="00FF6D94" w:rsidRPr="00E95EF8">
              <w:rPr>
                <w:rStyle w:val="Hyperlink"/>
                <w:noProof/>
              </w:rPr>
              <w:t>Les sites de l’étude</w:t>
            </w:r>
            <w:r w:rsidR="00FF6D94">
              <w:rPr>
                <w:noProof/>
                <w:webHidden/>
              </w:rPr>
              <w:tab/>
            </w:r>
            <w:r w:rsidR="00FF6D94">
              <w:rPr>
                <w:noProof/>
                <w:webHidden/>
              </w:rPr>
              <w:fldChar w:fldCharType="begin"/>
            </w:r>
            <w:r w:rsidR="00FF6D94">
              <w:rPr>
                <w:noProof/>
                <w:webHidden/>
              </w:rPr>
              <w:instrText xml:space="preserve"> PAGEREF _Toc465080731 \h </w:instrText>
            </w:r>
            <w:r w:rsidR="00FF6D94">
              <w:rPr>
                <w:noProof/>
                <w:webHidden/>
              </w:rPr>
            </w:r>
            <w:r w:rsidR="00FF6D94">
              <w:rPr>
                <w:noProof/>
                <w:webHidden/>
              </w:rPr>
              <w:fldChar w:fldCharType="separate"/>
            </w:r>
            <w:r w:rsidR="00FF6D94">
              <w:rPr>
                <w:noProof/>
                <w:webHidden/>
              </w:rPr>
              <w:t>4</w:t>
            </w:r>
            <w:r w:rsidR="00FF6D94">
              <w:rPr>
                <w:noProof/>
                <w:webHidden/>
              </w:rPr>
              <w:fldChar w:fldCharType="end"/>
            </w:r>
          </w:hyperlink>
        </w:p>
        <w:p w14:paraId="3279C1C8" w14:textId="19E9ED6E" w:rsidR="00FF6D94" w:rsidRDefault="00F8247E">
          <w:pPr>
            <w:pStyle w:val="TOC2"/>
            <w:tabs>
              <w:tab w:val="left" w:pos="880"/>
              <w:tab w:val="right" w:leader="dot" w:pos="8630"/>
            </w:tabs>
            <w:rPr>
              <w:noProof/>
              <w:lang w:val="fr-CA" w:eastAsia="zh-CN" w:bidi="ar-SA"/>
            </w:rPr>
          </w:pPr>
          <w:hyperlink w:anchor="_Toc465080732" w:history="1">
            <w:r w:rsidR="00FF6D94" w:rsidRPr="00E95EF8">
              <w:rPr>
                <w:rStyle w:val="Hyperlink"/>
                <w:noProof/>
              </w:rPr>
              <w:t>2.2</w:t>
            </w:r>
            <w:r w:rsidR="00FF6D94">
              <w:rPr>
                <w:noProof/>
                <w:lang w:val="fr-CA" w:eastAsia="zh-CN" w:bidi="ar-SA"/>
              </w:rPr>
              <w:tab/>
            </w:r>
            <w:r w:rsidR="00FF6D94" w:rsidRPr="00E95EF8">
              <w:rPr>
                <w:rStyle w:val="Hyperlink"/>
                <w:noProof/>
              </w:rPr>
              <w:t>Conception de l’étude</w:t>
            </w:r>
            <w:r w:rsidR="00FF6D94">
              <w:rPr>
                <w:noProof/>
                <w:webHidden/>
              </w:rPr>
              <w:tab/>
            </w:r>
            <w:r w:rsidR="00FF6D94">
              <w:rPr>
                <w:noProof/>
                <w:webHidden/>
              </w:rPr>
              <w:fldChar w:fldCharType="begin"/>
            </w:r>
            <w:r w:rsidR="00FF6D94">
              <w:rPr>
                <w:noProof/>
                <w:webHidden/>
              </w:rPr>
              <w:instrText xml:space="preserve"> PAGEREF _Toc465080732 \h </w:instrText>
            </w:r>
            <w:r w:rsidR="00FF6D94">
              <w:rPr>
                <w:noProof/>
                <w:webHidden/>
              </w:rPr>
            </w:r>
            <w:r w:rsidR="00FF6D94">
              <w:rPr>
                <w:noProof/>
                <w:webHidden/>
              </w:rPr>
              <w:fldChar w:fldCharType="separate"/>
            </w:r>
            <w:r w:rsidR="00FF6D94">
              <w:rPr>
                <w:noProof/>
                <w:webHidden/>
              </w:rPr>
              <w:t>5</w:t>
            </w:r>
            <w:r w:rsidR="00FF6D94">
              <w:rPr>
                <w:noProof/>
                <w:webHidden/>
              </w:rPr>
              <w:fldChar w:fldCharType="end"/>
            </w:r>
          </w:hyperlink>
        </w:p>
        <w:p w14:paraId="040BEA2E" w14:textId="184C3CD8" w:rsidR="00FF6D94" w:rsidRDefault="00F8247E">
          <w:pPr>
            <w:pStyle w:val="TOC2"/>
            <w:tabs>
              <w:tab w:val="left" w:pos="880"/>
              <w:tab w:val="right" w:leader="dot" w:pos="8630"/>
            </w:tabs>
            <w:rPr>
              <w:noProof/>
              <w:lang w:val="fr-CA" w:eastAsia="zh-CN" w:bidi="ar-SA"/>
            </w:rPr>
          </w:pPr>
          <w:hyperlink w:anchor="_Toc465080733" w:history="1">
            <w:r w:rsidR="00FF6D94" w:rsidRPr="00E95EF8">
              <w:rPr>
                <w:rStyle w:val="Hyperlink"/>
                <w:noProof/>
              </w:rPr>
              <w:t>2.3</w:t>
            </w:r>
            <w:r w:rsidR="00FF6D94">
              <w:rPr>
                <w:noProof/>
                <w:lang w:val="fr-CA" w:eastAsia="zh-CN" w:bidi="ar-SA"/>
              </w:rPr>
              <w:tab/>
            </w:r>
            <w:r w:rsidR="00FF6D94" w:rsidRPr="00E95EF8">
              <w:rPr>
                <w:rStyle w:val="Hyperlink"/>
                <w:noProof/>
              </w:rPr>
              <w:t>Taille de l’échantillon</w:t>
            </w:r>
            <w:r w:rsidR="00FF6D94">
              <w:rPr>
                <w:noProof/>
                <w:webHidden/>
              </w:rPr>
              <w:tab/>
            </w:r>
            <w:r w:rsidR="00FF6D94">
              <w:rPr>
                <w:noProof/>
                <w:webHidden/>
              </w:rPr>
              <w:fldChar w:fldCharType="begin"/>
            </w:r>
            <w:r w:rsidR="00FF6D94">
              <w:rPr>
                <w:noProof/>
                <w:webHidden/>
              </w:rPr>
              <w:instrText xml:space="preserve"> PAGEREF _Toc465080733 \h </w:instrText>
            </w:r>
            <w:r w:rsidR="00FF6D94">
              <w:rPr>
                <w:noProof/>
                <w:webHidden/>
              </w:rPr>
            </w:r>
            <w:r w:rsidR="00FF6D94">
              <w:rPr>
                <w:noProof/>
                <w:webHidden/>
              </w:rPr>
              <w:fldChar w:fldCharType="separate"/>
            </w:r>
            <w:r w:rsidR="00FF6D94">
              <w:rPr>
                <w:noProof/>
                <w:webHidden/>
              </w:rPr>
              <w:t>6</w:t>
            </w:r>
            <w:r w:rsidR="00FF6D94">
              <w:rPr>
                <w:noProof/>
                <w:webHidden/>
              </w:rPr>
              <w:fldChar w:fldCharType="end"/>
            </w:r>
          </w:hyperlink>
        </w:p>
        <w:p w14:paraId="582395FD" w14:textId="7E094536" w:rsidR="00FF6D94" w:rsidRDefault="00F8247E">
          <w:pPr>
            <w:pStyle w:val="TOC3"/>
            <w:tabs>
              <w:tab w:val="left" w:pos="1320"/>
              <w:tab w:val="right" w:leader="dot" w:pos="8630"/>
            </w:tabs>
            <w:rPr>
              <w:noProof/>
              <w:lang w:val="fr-CA" w:eastAsia="zh-CN" w:bidi="ar-SA"/>
            </w:rPr>
          </w:pPr>
          <w:hyperlink w:anchor="_Toc465080734" w:history="1">
            <w:r w:rsidR="00FF6D94" w:rsidRPr="00E95EF8">
              <w:rPr>
                <w:rStyle w:val="Hyperlink"/>
                <w:noProof/>
              </w:rPr>
              <w:t>2.3.1</w:t>
            </w:r>
            <w:r w:rsidR="00FF6D94">
              <w:rPr>
                <w:noProof/>
                <w:lang w:val="fr-CA" w:eastAsia="zh-CN" w:bidi="ar-SA"/>
              </w:rPr>
              <w:tab/>
            </w:r>
            <w:r w:rsidR="00FF6D94" w:rsidRPr="00E95EF8">
              <w:rPr>
                <w:rStyle w:val="Hyperlink"/>
                <w:noProof/>
              </w:rPr>
              <w:t>Durabilité physique</w:t>
            </w:r>
            <w:r w:rsidR="00FF6D94">
              <w:rPr>
                <w:noProof/>
                <w:webHidden/>
              </w:rPr>
              <w:tab/>
            </w:r>
            <w:r w:rsidR="00FF6D94">
              <w:rPr>
                <w:noProof/>
                <w:webHidden/>
              </w:rPr>
              <w:fldChar w:fldCharType="begin"/>
            </w:r>
            <w:r w:rsidR="00FF6D94">
              <w:rPr>
                <w:noProof/>
                <w:webHidden/>
              </w:rPr>
              <w:instrText xml:space="preserve"> PAGEREF _Toc465080734 \h </w:instrText>
            </w:r>
            <w:r w:rsidR="00FF6D94">
              <w:rPr>
                <w:noProof/>
                <w:webHidden/>
              </w:rPr>
            </w:r>
            <w:r w:rsidR="00FF6D94">
              <w:rPr>
                <w:noProof/>
                <w:webHidden/>
              </w:rPr>
              <w:fldChar w:fldCharType="separate"/>
            </w:r>
            <w:r w:rsidR="00FF6D94">
              <w:rPr>
                <w:noProof/>
                <w:webHidden/>
              </w:rPr>
              <w:t>6</w:t>
            </w:r>
            <w:r w:rsidR="00FF6D94">
              <w:rPr>
                <w:noProof/>
                <w:webHidden/>
              </w:rPr>
              <w:fldChar w:fldCharType="end"/>
            </w:r>
          </w:hyperlink>
        </w:p>
        <w:p w14:paraId="683DFC59" w14:textId="307C7FFC" w:rsidR="00FF6D94" w:rsidRDefault="00F8247E">
          <w:pPr>
            <w:pStyle w:val="TOC3"/>
            <w:tabs>
              <w:tab w:val="left" w:pos="1320"/>
              <w:tab w:val="right" w:leader="dot" w:pos="8630"/>
            </w:tabs>
            <w:rPr>
              <w:noProof/>
              <w:lang w:val="fr-CA" w:eastAsia="zh-CN" w:bidi="ar-SA"/>
            </w:rPr>
          </w:pPr>
          <w:hyperlink w:anchor="_Toc465080735" w:history="1">
            <w:r w:rsidR="00FF6D94" w:rsidRPr="00E95EF8">
              <w:rPr>
                <w:rStyle w:val="Hyperlink"/>
                <w:noProof/>
              </w:rPr>
              <w:t>2.3.2</w:t>
            </w:r>
            <w:r w:rsidR="00FF6D94">
              <w:rPr>
                <w:noProof/>
                <w:lang w:val="fr-CA" w:eastAsia="zh-CN" w:bidi="ar-SA"/>
              </w:rPr>
              <w:tab/>
            </w:r>
            <w:r w:rsidR="00FF6D94" w:rsidRPr="00E95EF8">
              <w:rPr>
                <w:rStyle w:val="Hyperlink"/>
                <w:noProof/>
              </w:rPr>
              <w:t>Durabilité de l’insecticide</w:t>
            </w:r>
            <w:r w:rsidR="00FF6D94">
              <w:rPr>
                <w:noProof/>
                <w:webHidden/>
              </w:rPr>
              <w:tab/>
            </w:r>
            <w:r w:rsidR="00FF6D94">
              <w:rPr>
                <w:noProof/>
                <w:webHidden/>
              </w:rPr>
              <w:fldChar w:fldCharType="begin"/>
            </w:r>
            <w:r w:rsidR="00FF6D94">
              <w:rPr>
                <w:noProof/>
                <w:webHidden/>
              </w:rPr>
              <w:instrText xml:space="preserve"> PAGEREF _Toc465080735 \h </w:instrText>
            </w:r>
            <w:r w:rsidR="00FF6D94">
              <w:rPr>
                <w:noProof/>
                <w:webHidden/>
              </w:rPr>
            </w:r>
            <w:r w:rsidR="00FF6D94">
              <w:rPr>
                <w:noProof/>
                <w:webHidden/>
              </w:rPr>
              <w:fldChar w:fldCharType="separate"/>
            </w:r>
            <w:r w:rsidR="00FF6D94">
              <w:rPr>
                <w:noProof/>
                <w:webHidden/>
              </w:rPr>
              <w:t>6</w:t>
            </w:r>
            <w:r w:rsidR="00FF6D94">
              <w:rPr>
                <w:noProof/>
                <w:webHidden/>
              </w:rPr>
              <w:fldChar w:fldCharType="end"/>
            </w:r>
          </w:hyperlink>
        </w:p>
        <w:p w14:paraId="2D06E2B0" w14:textId="55D8997B" w:rsidR="00FF6D94" w:rsidRDefault="00F8247E">
          <w:pPr>
            <w:pStyle w:val="TOC2"/>
            <w:tabs>
              <w:tab w:val="left" w:pos="880"/>
              <w:tab w:val="right" w:leader="dot" w:pos="8630"/>
            </w:tabs>
            <w:rPr>
              <w:noProof/>
              <w:lang w:val="fr-CA" w:eastAsia="zh-CN" w:bidi="ar-SA"/>
            </w:rPr>
          </w:pPr>
          <w:hyperlink w:anchor="_Toc465080736" w:history="1">
            <w:r w:rsidR="00FF6D94" w:rsidRPr="00E95EF8">
              <w:rPr>
                <w:rStyle w:val="Hyperlink"/>
                <w:noProof/>
              </w:rPr>
              <w:t>2.4</w:t>
            </w:r>
            <w:r w:rsidR="00FF6D94">
              <w:rPr>
                <w:noProof/>
                <w:lang w:val="fr-CA" w:eastAsia="zh-CN" w:bidi="ar-SA"/>
              </w:rPr>
              <w:tab/>
            </w:r>
            <w:r w:rsidR="00FF6D94" w:rsidRPr="00E95EF8">
              <w:rPr>
                <w:rStyle w:val="Hyperlink"/>
                <w:noProof/>
              </w:rPr>
              <w:t>Procédures d’échantillonnage</w:t>
            </w:r>
            <w:r w:rsidR="00FF6D94">
              <w:rPr>
                <w:noProof/>
                <w:webHidden/>
              </w:rPr>
              <w:tab/>
            </w:r>
            <w:r w:rsidR="00FF6D94">
              <w:rPr>
                <w:noProof/>
                <w:webHidden/>
              </w:rPr>
              <w:fldChar w:fldCharType="begin"/>
            </w:r>
            <w:r w:rsidR="00FF6D94">
              <w:rPr>
                <w:noProof/>
                <w:webHidden/>
              </w:rPr>
              <w:instrText xml:space="preserve"> PAGEREF _Toc465080736 \h </w:instrText>
            </w:r>
            <w:r w:rsidR="00FF6D94">
              <w:rPr>
                <w:noProof/>
                <w:webHidden/>
              </w:rPr>
            </w:r>
            <w:r w:rsidR="00FF6D94">
              <w:rPr>
                <w:noProof/>
                <w:webHidden/>
              </w:rPr>
              <w:fldChar w:fldCharType="separate"/>
            </w:r>
            <w:r w:rsidR="00FF6D94">
              <w:rPr>
                <w:noProof/>
                <w:webHidden/>
              </w:rPr>
              <w:t>7</w:t>
            </w:r>
            <w:r w:rsidR="00FF6D94">
              <w:rPr>
                <w:noProof/>
                <w:webHidden/>
              </w:rPr>
              <w:fldChar w:fldCharType="end"/>
            </w:r>
          </w:hyperlink>
        </w:p>
        <w:p w14:paraId="7C33332E" w14:textId="584CAAD7" w:rsidR="00FF6D94" w:rsidRDefault="00F8247E">
          <w:pPr>
            <w:pStyle w:val="TOC3"/>
            <w:tabs>
              <w:tab w:val="left" w:pos="1320"/>
              <w:tab w:val="right" w:leader="dot" w:pos="8630"/>
            </w:tabs>
            <w:rPr>
              <w:noProof/>
              <w:lang w:val="fr-CA" w:eastAsia="zh-CN" w:bidi="ar-SA"/>
            </w:rPr>
          </w:pPr>
          <w:hyperlink w:anchor="_Toc465080737" w:history="1">
            <w:r w:rsidR="00FF6D94" w:rsidRPr="00E95EF8">
              <w:rPr>
                <w:rStyle w:val="Hyperlink"/>
                <w:noProof/>
              </w:rPr>
              <w:t>2.4.1</w:t>
            </w:r>
            <w:r w:rsidR="00FF6D94">
              <w:rPr>
                <w:noProof/>
                <w:lang w:val="fr-CA" w:eastAsia="zh-CN" w:bidi="ar-SA"/>
              </w:rPr>
              <w:tab/>
            </w:r>
            <w:r w:rsidR="00FF6D94" w:rsidRPr="00E95EF8">
              <w:rPr>
                <w:rStyle w:val="Hyperlink"/>
                <w:noProof/>
              </w:rPr>
              <w:t>Étape 1 : sélection des grappes</w:t>
            </w:r>
            <w:r w:rsidR="00FF6D94">
              <w:rPr>
                <w:noProof/>
                <w:webHidden/>
              </w:rPr>
              <w:tab/>
            </w:r>
            <w:r w:rsidR="00FF6D94">
              <w:rPr>
                <w:noProof/>
                <w:webHidden/>
              </w:rPr>
              <w:fldChar w:fldCharType="begin"/>
            </w:r>
            <w:r w:rsidR="00FF6D94">
              <w:rPr>
                <w:noProof/>
                <w:webHidden/>
              </w:rPr>
              <w:instrText xml:space="preserve"> PAGEREF _Toc465080737 \h </w:instrText>
            </w:r>
            <w:r w:rsidR="00FF6D94">
              <w:rPr>
                <w:noProof/>
                <w:webHidden/>
              </w:rPr>
            </w:r>
            <w:r w:rsidR="00FF6D94">
              <w:rPr>
                <w:noProof/>
                <w:webHidden/>
              </w:rPr>
              <w:fldChar w:fldCharType="separate"/>
            </w:r>
            <w:r w:rsidR="00FF6D94">
              <w:rPr>
                <w:noProof/>
                <w:webHidden/>
              </w:rPr>
              <w:t>7</w:t>
            </w:r>
            <w:r w:rsidR="00FF6D94">
              <w:rPr>
                <w:noProof/>
                <w:webHidden/>
              </w:rPr>
              <w:fldChar w:fldCharType="end"/>
            </w:r>
          </w:hyperlink>
        </w:p>
        <w:p w14:paraId="533F6339" w14:textId="1C205C47" w:rsidR="00FF6D94" w:rsidRDefault="00F8247E">
          <w:pPr>
            <w:pStyle w:val="TOC3"/>
            <w:tabs>
              <w:tab w:val="left" w:pos="1320"/>
              <w:tab w:val="right" w:leader="dot" w:pos="8630"/>
            </w:tabs>
            <w:rPr>
              <w:noProof/>
              <w:lang w:val="fr-CA" w:eastAsia="zh-CN" w:bidi="ar-SA"/>
            </w:rPr>
          </w:pPr>
          <w:hyperlink w:anchor="_Toc465080738" w:history="1">
            <w:r w:rsidR="00FF6D94" w:rsidRPr="00E95EF8">
              <w:rPr>
                <w:rStyle w:val="Hyperlink"/>
                <w:noProof/>
              </w:rPr>
              <w:t>2.4.2</w:t>
            </w:r>
            <w:r w:rsidR="00FF6D94">
              <w:rPr>
                <w:noProof/>
                <w:lang w:val="fr-CA" w:eastAsia="zh-CN" w:bidi="ar-SA"/>
              </w:rPr>
              <w:tab/>
            </w:r>
            <w:r w:rsidR="00FF6D94" w:rsidRPr="00E95EF8">
              <w:rPr>
                <w:rStyle w:val="Hyperlink"/>
                <w:noProof/>
              </w:rPr>
              <w:t>Étape 2 : sélection des ménages et des moustiquaires étudiées</w:t>
            </w:r>
            <w:r w:rsidR="00FF6D94">
              <w:rPr>
                <w:noProof/>
                <w:webHidden/>
              </w:rPr>
              <w:tab/>
            </w:r>
            <w:r w:rsidR="00FF6D94">
              <w:rPr>
                <w:noProof/>
                <w:webHidden/>
              </w:rPr>
              <w:fldChar w:fldCharType="begin"/>
            </w:r>
            <w:r w:rsidR="00FF6D94">
              <w:rPr>
                <w:noProof/>
                <w:webHidden/>
              </w:rPr>
              <w:instrText xml:space="preserve"> PAGEREF _Toc465080738 \h </w:instrText>
            </w:r>
            <w:r w:rsidR="00FF6D94">
              <w:rPr>
                <w:noProof/>
                <w:webHidden/>
              </w:rPr>
            </w:r>
            <w:r w:rsidR="00FF6D94">
              <w:rPr>
                <w:noProof/>
                <w:webHidden/>
              </w:rPr>
              <w:fldChar w:fldCharType="separate"/>
            </w:r>
            <w:r w:rsidR="00FF6D94">
              <w:rPr>
                <w:noProof/>
                <w:webHidden/>
              </w:rPr>
              <w:t>7</w:t>
            </w:r>
            <w:r w:rsidR="00FF6D94">
              <w:rPr>
                <w:noProof/>
                <w:webHidden/>
              </w:rPr>
              <w:fldChar w:fldCharType="end"/>
            </w:r>
          </w:hyperlink>
        </w:p>
        <w:p w14:paraId="41CE50C2" w14:textId="2CECC6CF" w:rsidR="00FF6D94" w:rsidRDefault="00F8247E">
          <w:pPr>
            <w:pStyle w:val="TOC3"/>
            <w:tabs>
              <w:tab w:val="left" w:pos="1320"/>
              <w:tab w:val="right" w:leader="dot" w:pos="8630"/>
            </w:tabs>
            <w:rPr>
              <w:noProof/>
              <w:lang w:val="fr-CA" w:eastAsia="zh-CN" w:bidi="ar-SA"/>
            </w:rPr>
          </w:pPr>
          <w:hyperlink w:anchor="_Toc465080739" w:history="1">
            <w:r w:rsidR="00FF6D94" w:rsidRPr="00E95EF8">
              <w:rPr>
                <w:rStyle w:val="Hyperlink"/>
                <w:noProof/>
              </w:rPr>
              <w:t>2.4.3</w:t>
            </w:r>
            <w:r w:rsidR="00FF6D94">
              <w:rPr>
                <w:noProof/>
                <w:lang w:val="fr-CA" w:eastAsia="zh-CN" w:bidi="ar-SA"/>
              </w:rPr>
              <w:tab/>
            </w:r>
            <w:r w:rsidR="00FF6D94" w:rsidRPr="00E95EF8">
              <w:rPr>
                <w:rStyle w:val="Hyperlink"/>
                <w:noProof/>
              </w:rPr>
              <w:t>Étape 3 : sélection des sous-échantillons de moustiquaires</w:t>
            </w:r>
            <w:r w:rsidR="00FF6D94">
              <w:rPr>
                <w:noProof/>
                <w:webHidden/>
              </w:rPr>
              <w:tab/>
            </w:r>
            <w:r w:rsidR="00FF6D94">
              <w:rPr>
                <w:noProof/>
                <w:webHidden/>
              </w:rPr>
              <w:fldChar w:fldCharType="begin"/>
            </w:r>
            <w:r w:rsidR="00FF6D94">
              <w:rPr>
                <w:noProof/>
                <w:webHidden/>
              </w:rPr>
              <w:instrText xml:space="preserve"> PAGEREF _Toc465080739 \h </w:instrText>
            </w:r>
            <w:r w:rsidR="00FF6D94">
              <w:rPr>
                <w:noProof/>
                <w:webHidden/>
              </w:rPr>
            </w:r>
            <w:r w:rsidR="00FF6D94">
              <w:rPr>
                <w:noProof/>
                <w:webHidden/>
              </w:rPr>
              <w:fldChar w:fldCharType="separate"/>
            </w:r>
            <w:r w:rsidR="00FF6D94">
              <w:rPr>
                <w:noProof/>
                <w:webHidden/>
              </w:rPr>
              <w:t>8</w:t>
            </w:r>
            <w:r w:rsidR="00FF6D94">
              <w:rPr>
                <w:noProof/>
                <w:webHidden/>
              </w:rPr>
              <w:fldChar w:fldCharType="end"/>
            </w:r>
          </w:hyperlink>
        </w:p>
        <w:p w14:paraId="22FCEE28" w14:textId="66BD0A75" w:rsidR="00FF6D94" w:rsidRDefault="00F8247E">
          <w:pPr>
            <w:pStyle w:val="TOC2"/>
            <w:tabs>
              <w:tab w:val="left" w:pos="880"/>
              <w:tab w:val="right" w:leader="dot" w:pos="8630"/>
            </w:tabs>
            <w:rPr>
              <w:noProof/>
              <w:lang w:val="fr-CA" w:eastAsia="zh-CN" w:bidi="ar-SA"/>
            </w:rPr>
          </w:pPr>
          <w:hyperlink w:anchor="_Toc465080740" w:history="1">
            <w:r w:rsidR="00FF6D94" w:rsidRPr="00E95EF8">
              <w:rPr>
                <w:rStyle w:val="Hyperlink"/>
                <w:noProof/>
              </w:rPr>
              <w:t>2.5</w:t>
            </w:r>
            <w:r w:rsidR="00FF6D94">
              <w:rPr>
                <w:noProof/>
                <w:lang w:val="fr-CA" w:eastAsia="zh-CN" w:bidi="ar-SA"/>
              </w:rPr>
              <w:tab/>
            </w:r>
            <w:r w:rsidR="00FF6D94" w:rsidRPr="00E95EF8">
              <w:rPr>
                <w:rStyle w:val="Hyperlink"/>
                <w:noProof/>
              </w:rPr>
              <w:t>Procédures de terrain</w:t>
            </w:r>
            <w:r w:rsidR="00FF6D94">
              <w:rPr>
                <w:noProof/>
                <w:webHidden/>
              </w:rPr>
              <w:tab/>
            </w:r>
            <w:r w:rsidR="00FF6D94">
              <w:rPr>
                <w:noProof/>
                <w:webHidden/>
              </w:rPr>
              <w:fldChar w:fldCharType="begin"/>
            </w:r>
            <w:r w:rsidR="00FF6D94">
              <w:rPr>
                <w:noProof/>
                <w:webHidden/>
              </w:rPr>
              <w:instrText xml:space="preserve"> PAGEREF _Toc465080740 \h </w:instrText>
            </w:r>
            <w:r w:rsidR="00FF6D94">
              <w:rPr>
                <w:noProof/>
                <w:webHidden/>
              </w:rPr>
            </w:r>
            <w:r w:rsidR="00FF6D94">
              <w:rPr>
                <w:noProof/>
                <w:webHidden/>
              </w:rPr>
              <w:fldChar w:fldCharType="separate"/>
            </w:r>
            <w:r w:rsidR="00FF6D94">
              <w:rPr>
                <w:noProof/>
                <w:webHidden/>
              </w:rPr>
              <w:t>9</w:t>
            </w:r>
            <w:r w:rsidR="00FF6D94">
              <w:rPr>
                <w:noProof/>
                <w:webHidden/>
              </w:rPr>
              <w:fldChar w:fldCharType="end"/>
            </w:r>
          </w:hyperlink>
        </w:p>
        <w:p w14:paraId="5C49398A" w14:textId="48A4808D" w:rsidR="00FF6D94" w:rsidRDefault="00F8247E">
          <w:pPr>
            <w:pStyle w:val="TOC3"/>
            <w:tabs>
              <w:tab w:val="left" w:pos="1320"/>
              <w:tab w:val="right" w:leader="dot" w:pos="8630"/>
            </w:tabs>
            <w:rPr>
              <w:noProof/>
              <w:lang w:val="fr-CA" w:eastAsia="zh-CN" w:bidi="ar-SA"/>
            </w:rPr>
          </w:pPr>
          <w:hyperlink w:anchor="_Toc465080741" w:history="1">
            <w:r w:rsidR="00FF6D94" w:rsidRPr="00E95EF8">
              <w:rPr>
                <w:rStyle w:val="Hyperlink"/>
                <w:noProof/>
              </w:rPr>
              <w:t>2.5.1</w:t>
            </w:r>
            <w:r w:rsidR="00FF6D94">
              <w:rPr>
                <w:noProof/>
                <w:lang w:val="fr-CA" w:eastAsia="zh-CN" w:bidi="ar-SA"/>
              </w:rPr>
              <w:tab/>
            </w:r>
            <w:r w:rsidR="00FF6D94" w:rsidRPr="00E95EF8">
              <w:rPr>
                <w:rStyle w:val="Hyperlink"/>
                <w:noProof/>
              </w:rPr>
              <w:t>Phase préparatoire</w:t>
            </w:r>
            <w:r w:rsidR="00FF6D94">
              <w:rPr>
                <w:noProof/>
                <w:webHidden/>
              </w:rPr>
              <w:tab/>
            </w:r>
            <w:r w:rsidR="00FF6D94">
              <w:rPr>
                <w:noProof/>
                <w:webHidden/>
              </w:rPr>
              <w:fldChar w:fldCharType="begin"/>
            </w:r>
            <w:r w:rsidR="00FF6D94">
              <w:rPr>
                <w:noProof/>
                <w:webHidden/>
              </w:rPr>
              <w:instrText xml:space="preserve"> PAGEREF _Toc465080741 \h </w:instrText>
            </w:r>
            <w:r w:rsidR="00FF6D94">
              <w:rPr>
                <w:noProof/>
                <w:webHidden/>
              </w:rPr>
            </w:r>
            <w:r w:rsidR="00FF6D94">
              <w:rPr>
                <w:noProof/>
                <w:webHidden/>
              </w:rPr>
              <w:fldChar w:fldCharType="separate"/>
            </w:r>
            <w:r w:rsidR="00FF6D94">
              <w:rPr>
                <w:noProof/>
                <w:webHidden/>
              </w:rPr>
              <w:t>9</w:t>
            </w:r>
            <w:r w:rsidR="00FF6D94">
              <w:rPr>
                <w:noProof/>
                <w:webHidden/>
              </w:rPr>
              <w:fldChar w:fldCharType="end"/>
            </w:r>
          </w:hyperlink>
        </w:p>
        <w:p w14:paraId="00314824" w14:textId="1FAF0FAC" w:rsidR="00FF6D94" w:rsidRDefault="00F8247E">
          <w:pPr>
            <w:pStyle w:val="TOC3"/>
            <w:tabs>
              <w:tab w:val="left" w:pos="1320"/>
              <w:tab w:val="right" w:leader="dot" w:pos="8630"/>
            </w:tabs>
            <w:rPr>
              <w:noProof/>
              <w:lang w:val="fr-CA" w:eastAsia="zh-CN" w:bidi="ar-SA"/>
            </w:rPr>
          </w:pPr>
          <w:hyperlink w:anchor="_Toc465080742" w:history="1">
            <w:r w:rsidR="00FF6D94" w:rsidRPr="00E95EF8">
              <w:rPr>
                <w:rStyle w:val="Hyperlink"/>
                <w:noProof/>
              </w:rPr>
              <w:t>2.5.2</w:t>
            </w:r>
            <w:r w:rsidR="00FF6D94">
              <w:rPr>
                <w:noProof/>
                <w:lang w:val="fr-CA" w:eastAsia="zh-CN" w:bidi="ar-SA"/>
              </w:rPr>
              <w:tab/>
            </w:r>
            <w:r w:rsidR="00FF6D94" w:rsidRPr="00E95EF8">
              <w:rPr>
                <w:rStyle w:val="Hyperlink"/>
                <w:noProof/>
              </w:rPr>
              <w:t>Travail sur le terrain</w:t>
            </w:r>
            <w:r w:rsidR="00FF6D94">
              <w:rPr>
                <w:noProof/>
                <w:webHidden/>
              </w:rPr>
              <w:tab/>
            </w:r>
            <w:r w:rsidR="00FF6D94">
              <w:rPr>
                <w:noProof/>
                <w:webHidden/>
              </w:rPr>
              <w:fldChar w:fldCharType="begin"/>
            </w:r>
            <w:r w:rsidR="00FF6D94">
              <w:rPr>
                <w:noProof/>
                <w:webHidden/>
              </w:rPr>
              <w:instrText xml:space="preserve"> PAGEREF _Toc465080742 \h </w:instrText>
            </w:r>
            <w:r w:rsidR="00FF6D94">
              <w:rPr>
                <w:noProof/>
                <w:webHidden/>
              </w:rPr>
            </w:r>
            <w:r w:rsidR="00FF6D94">
              <w:rPr>
                <w:noProof/>
                <w:webHidden/>
              </w:rPr>
              <w:fldChar w:fldCharType="separate"/>
            </w:r>
            <w:r w:rsidR="00FF6D94">
              <w:rPr>
                <w:noProof/>
                <w:webHidden/>
              </w:rPr>
              <w:t>10</w:t>
            </w:r>
            <w:r w:rsidR="00FF6D94">
              <w:rPr>
                <w:noProof/>
                <w:webHidden/>
              </w:rPr>
              <w:fldChar w:fldCharType="end"/>
            </w:r>
          </w:hyperlink>
        </w:p>
        <w:p w14:paraId="7DA93ADB" w14:textId="4F2D05BE" w:rsidR="00FF6D94" w:rsidRDefault="00F8247E">
          <w:pPr>
            <w:pStyle w:val="TOC2"/>
            <w:tabs>
              <w:tab w:val="left" w:pos="880"/>
              <w:tab w:val="right" w:leader="dot" w:pos="8630"/>
            </w:tabs>
            <w:rPr>
              <w:noProof/>
              <w:lang w:val="fr-CA" w:eastAsia="zh-CN" w:bidi="ar-SA"/>
            </w:rPr>
          </w:pPr>
          <w:hyperlink w:anchor="_Toc465080743" w:history="1">
            <w:r w:rsidR="00FF6D94" w:rsidRPr="00E95EF8">
              <w:rPr>
                <w:rStyle w:val="Hyperlink"/>
                <w:noProof/>
              </w:rPr>
              <w:t>2.6</w:t>
            </w:r>
            <w:r w:rsidR="00FF6D94">
              <w:rPr>
                <w:noProof/>
                <w:lang w:val="fr-CA" w:eastAsia="zh-CN" w:bidi="ar-SA"/>
              </w:rPr>
              <w:tab/>
            </w:r>
            <w:r w:rsidR="00FF6D94" w:rsidRPr="00E95EF8">
              <w:rPr>
                <w:rStyle w:val="Hyperlink"/>
                <w:noProof/>
              </w:rPr>
              <w:t>Analyses de laboratoire</w:t>
            </w:r>
            <w:r w:rsidR="00FF6D94">
              <w:rPr>
                <w:noProof/>
                <w:webHidden/>
              </w:rPr>
              <w:tab/>
            </w:r>
            <w:r w:rsidR="00FF6D94">
              <w:rPr>
                <w:noProof/>
                <w:webHidden/>
              </w:rPr>
              <w:fldChar w:fldCharType="begin"/>
            </w:r>
            <w:r w:rsidR="00FF6D94">
              <w:rPr>
                <w:noProof/>
                <w:webHidden/>
              </w:rPr>
              <w:instrText xml:space="preserve"> PAGEREF _Toc465080743 \h </w:instrText>
            </w:r>
            <w:r w:rsidR="00FF6D94">
              <w:rPr>
                <w:noProof/>
                <w:webHidden/>
              </w:rPr>
            </w:r>
            <w:r w:rsidR="00FF6D94">
              <w:rPr>
                <w:noProof/>
                <w:webHidden/>
              </w:rPr>
              <w:fldChar w:fldCharType="separate"/>
            </w:r>
            <w:r w:rsidR="00FF6D94">
              <w:rPr>
                <w:noProof/>
                <w:webHidden/>
              </w:rPr>
              <w:t>13</w:t>
            </w:r>
            <w:r w:rsidR="00FF6D94">
              <w:rPr>
                <w:noProof/>
                <w:webHidden/>
              </w:rPr>
              <w:fldChar w:fldCharType="end"/>
            </w:r>
          </w:hyperlink>
        </w:p>
        <w:p w14:paraId="6043E316" w14:textId="7978600D" w:rsidR="00FF6D94" w:rsidRDefault="00F8247E">
          <w:pPr>
            <w:pStyle w:val="TOC3"/>
            <w:tabs>
              <w:tab w:val="left" w:pos="1320"/>
              <w:tab w:val="right" w:leader="dot" w:pos="8630"/>
            </w:tabs>
            <w:rPr>
              <w:noProof/>
              <w:lang w:val="fr-CA" w:eastAsia="zh-CN" w:bidi="ar-SA"/>
            </w:rPr>
          </w:pPr>
          <w:hyperlink w:anchor="_Toc465080744" w:history="1">
            <w:r w:rsidR="00FF6D94" w:rsidRPr="00E95EF8">
              <w:rPr>
                <w:rStyle w:val="Hyperlink"/>
                <w:noProof/>
              </w:rPr>
              <w:t>2.6.1</w:t>
            </w:r>
            <w:r w:rsidR="00FF6D94">
              <w:rPr>
                <w:noProof/>
                <w:lang w:val="fr-CA" w:eastAsia="zh-CN" w:bidi="ar-SA"/>
              </w:rPr>
              <w:tab/>
            </w:r>
            <w:r w:rsidR="00FF6D94" w:rsidRPr="00E95EF8">
              <w:rPr>
                <w:rStyle w:val="Hyperlink"/>
                <w:noProof/>
              </w:rPr>
              <w:t>Bio-essais :</w:t>
            </w:r>
            <w:r w:rsidR="00FF6D94">
              <w:rPr>
                <w:noProof/>
                <w:webHidden/>
              </w:rPr>
              <w:tab/>
            </w:r>
            <w:r w:rsidR="00FF6D94">
              <w:rPr>
                <w:noProof/>
                <w:webHidden/>
              </w:rPr>
              <w:fldChar w:fldCharType="begin"/>
            </w:r>
            <w:r w:rsidR="00FF6D94">
              <w:rPr>
                <w:noProof/>
                <w:webHidden/>
              </w:rPr>
              <w:instrText xml:space="preserve"> PAGEREF _Toc465080744 \h </w:instrText>
            </w:r>
            <w:r w:rsidR="00FF6D94">
              <w:rPr>
                <w:noProof/>
                <w:webHidden/>
              </w:rPr>
            </w:r>
            <w:r w:rsidR="00FF6D94">
              <w:rPr>
                <w:noProof/>
                <w:webHidden/>
              </w:rPr>
              <w:fldChar w:fldCharType="separate"/>
            </w:r>
            <w:r w:rsidR="00FF6D94">
              <w:rPr>
                <w:noProof/>
                <w:webHidden/>
              </w:rPr>
              <w:t>13</w:t>
            </w:r>
            <w:r w:rsidR="00FF6D94">
              <w:rPr>
                <w:noProof/>
                <w:webHidden/>
              </w:rPr>
              <w:fldChar w:fldCharType="end"/>
            </w:r>
          </w:hyperlink>
        </w:p>
        <w:p w14:paraId="276BB110" w14:textId="05673802" w:rsidR="00FF6D94" w:rsidRDefault="00F8247E">
          <w:pPr>
            <w:pStyle w:val="TOC3"/>
            <w:tabs>
              <w:tab w:val="left" w:pos="1320"/>
              <w:tab w:val="right" w:leader="dot" w:pos="8630"/>
            </w:tabs>
            <w:rPr>
              <w:noProof/>
              <w:lang w:val="fr-CA" w:eastAsia="zh-CN" w:bidi="ar-SA"/>
            </w:rPr>
          </w:pPr>
          <w:hyperlink w:anchor="_Toc465080745" w:history="1">
            <w:r w:rsidR="00FF6D94" w:rsidRPr="00E95EF8">
              <w:rPr>
                <w:rStyle w:val="Hyperlink"/>
                <w:noProof/>
              </w:rPr>
              <w:t>2.6.2</w:t>
            </w:r>
            <w:r w:rsidR="00FF6D94">
              <w:rPr>
                <w:noProof/>
                <w:lang w:val="fr-CA" w:eastAsia="zh-CN" w:bidi="ar-SA"/>
              </w:rPr>
              <w:tab/>
            </w:r>
            <w:r w:rsidR="00FF6D94" w:rsidRPr="00E95EF8">
              <w:rPr>
                <w:rStyle w:val="Hyperlink"/>
                <w:rFonts w:ascii="Calibri" w:hAnsi="Calibri"/>
                <w:noProof/>
              </w:rPr>
              <w:t>(Facultatif… supprimer si ne s’applique pas)</w:t>
            </w:r>
            <w:r w:rsidR="00FF6D94" w:rsidRPr="00E95EF8">
              <w:rPr>
                <w:rStyle w:val="Hyperlink"/>
                <w:noProof/>
              </w:rPr>
              <w:t xml:space="preserve"> Résidus chimiques :</w:t>
            </w:r>
            <w:r w:rsidR="00FF6D94">
              <w:rPr>
                <w:noProof/>
                <w:webHidden/>
              </w:rPr>
              <w:tab/>
            </w:r>
            <w:r w:rsidR="00FF6D94">
              <w:rPr>
                <w:noProof/>
                <w:webHidden/>
              </w:rPr>
              <w:fldChar w:fldCharType="begin"/>
            </w:r>
            <w:r w:rsidR="00FF6D94">
              <w:rPr>
                <w:noProof/>
                <w:webHidden/>
              </w:rPr>
              <w:instrText xml:space="preserve"> PAGEREF _Toc465080745 \h </w:instrText>
            </w:r>
            <w:r w:rsidR="00FF6D94">
              <w:rPr>
                <w:noProof/>
                <w:webHidden/>
              </w:rPr>
            </w:r>
            <w:r w:rsidR="00FF6D94">
              <w:rPr>
                <w:noProof/>
                <w:webHidden/>
              </w:rPr>
              <w:fldChar w:fldCharType="separate"/>
            </w:r>
            <w:r w:rsidR="00FF6D94">
              <w:rPr>
                <w:noProof/>
                <w:webHidden/>
              </w:rPr>
              <w:t>14</w:t>
            </w:r>
            <w:r w:rsidR="00FF6D94">
              <w:rPr>
                <w:noProof/>
                <w:webHidden/>
              </w:rPr>
              <w:fldChar w:fldCharType="end"/>
            </w:r>
          </w:hyperlink>
        </w:p>
        <w:p w14:paraId="69748621" w14:textId="5565491E" w:rsidR="00FF6D94" w:rsidRDefault="00F8247E">
          <w:pPr>
            <w:pStyle w:val="TOC2"/>
            <w:tabs>
              <w:tab w:val="left" w:pos="880"/>
              <w:tab w:val="right" w:leader="dot" w:pos="8630"/>
            </w:tabs>
            <w:rPr>
              <w:noProof/>
              <w:lang w:val="fr-CA" w:eastAsia="zh-CN" w:bidi="ar-SA"/>
            </w:rPr>
          </w:pPr>
          <w:hyperlink w:anchor="_Toc465080746" w:history="1">
            <w:r w:rsidR="00FF6D94" w:rsidRPr="00E95EF8">
              <w:rPr>
                <w:rStyle w:val="Hyperlink"/>
                <w:noProof/>
              </w:rPr>
              <w:t>2.7</w:t>
            </w:r>
            <w:r w:rsidR="00FF6D94">
              <w:rPr>
                <w:noProof/>
                <w:lang w:val="fr-CA" w:eastAsia="zh-CN" w:bidi="ar-SA"/>
              </w:rPr>
              <w:tab/>
            </w:r>
            <w:r w:rsidR="00FF6D94" w:rsidRPr="00E95EF8">
              <w:rPr>
                <w:rStyle w:val="Hyperlink"/>
                <w:noProof/>
              </w:rPr>
              <w:t>Mesure des résultats</w:t>
            </w:r>
            <w:r w:rsidR="00FF6D94">
              <w:rPr>
                <w:noProof/>
                <w:webHidden/>
              </w:rPr>
              <w:tab/>
            </w:r>
            <w:r w:rsidR="00FF6D94">
              <w:rPr>
                <w:noProof/>
                <w:webHidden/>
              </w:rPr>
              <w:fldChar w:fldCharType="begin"/>
            </w:r>
            <w:r w:rsidR="00FF6D94">
              <w:rPr>
                <w:noProof/>
                <w:webHidden/>
              </w:rPr>
              <w:instrText xml:space="preserve"> PAGEREF _Toc465080746 \h </w:instrText>
            </w:r>
            <w:r w:rsidR="00FF6D94">
              <w:rPr>
                <w:noProof/>
                <w:webHidden/>
              </w:rPr>
            </w:r>
            <w:r w:rsidR="00FF6D94">
              <w:rPr>
                <w:noProof/>
                <w:webHidden/>
              </w:rPr>
              <w:fldChar w:fldCharType="separate"/>
            </w:r>
            <w:r w:rsidR="00FF6D94">
              <w:rPr>
                <w:noProof/>
                <w:webHidden/>
              </w:rPr>
              <w:t>14</w:t>
            </w:r>
            <w:r w:rsidR="00FF6D94">
              <w:rPr>
                <w:noProof/>
                <w:webHidden/>
              </w:rPr>
              <w:fldChar w:fldCharType="end"/>
            </w:r>
          </w:hyperlink>
        </w:p>
        <w:p w14:paraId="364A9F98" w14:textId="4E5FBEF8" w:rsidR="00FF6D94" w:rsidRDefault="00F8247E">
          <w:pPr>
            <w:pStyle w:val="TOC3"/>
            <w:tabs>
              <w:tab w:val="left" w:pos="1320"/>
              <w:tab w:val="right" w:leader="dot" w:pos="8630"/>
            </w:tabs>
            <w:rPr>
              <w:noProof/>
              <w:lang w:val="fr-CA" w:eastAsia="zh-CN" w:bidi="ar-SA"/>
            </w:rPr>
          </w:pPr>
          <w:hyperlink w:anchor="_Toc465080747" w:history="1">
            <w:r w:rsidR="00FF6D94" w:rsidRPr="00E95EF8">
              <w:rPr>
                <w:rStyle w:val="Hyperlink"/>
                <w:noProof/>
              </w:rPr>
              <w:t>2.7.1</w:t>
            </w:r>
            <w:r w:rsidR="00FF6D94">
              <w:rPr>
                <w:noProof/>
                <w:lang w:val="fr-CA" w:eastAsia="zh-CN" w:bidi="ar-SA"/>
              </w:rPr>
              <w:tab/>
            </w:r>
            <w:r w:rsidR="00FF6D94" w:rsidRPr="00E95EF8">
              <w:rPr>
                <w:rStyle w:val="Hyperlink"/>
                <w:noProof/>
              </w:rPr>
              <w:t>Taux de perte des moustiquaires dû à l’usure :</w:t>
            </w:r>
            <w:r w:rsidR="00FF6D94">
              <w:rPr>
                <w:noProof/>
                <w:webHidden/>
              </w:rPr>
              <w:tab/>
            </w:r>
            <w:r w:rsidR="00FF6D94">
              <w:rPr>
                <w:noProof/>
                <w:webHidden/>
              </w:rPr>
              <w:fldChar w:fldCharType="begin"/>
            </w:r>
            <w:r w:rsidR="00FF6D94">
              <w:rPr>
                <w:noProof/>
                <w:webHidden/>
              </w:rPr>
              <w:instrText xml:space="preserve"> PAGEREF _Toc465080747 \h </w:instrText>
            </w:r>
            <w:r w:rsidR="00FF6D94">
              <w:rPr>
                <w:noProof/>
                <w:webHidden/>
              </w:rPr>
            </w:r>
            <w:r w:rsidR="00FF6D94">
              <w:rPr>
                <w:noProof/>
                <w:webHidden/>
              </w:rPr>
              <w:fldChar w:fldCharType="separate"/>
            </w:r>
            <w:r w:rsidR="00FF6D94">
              <w:rPr>
                <w:noProof/>
                <w:webHidden/>
              </w:rPr>
              <w:t>14</w:t>
            </w:r>
            <w:r w:rsidR="00FF6D94">
              <w:rPr>
                <w:noProof/>
                <w:webHidden/>
              </w:rPr>
              <w:fldChar w:fldCharType="end"/>
            </w:r>
          </w:hyperlink>
        </w:p>
        <w:p w14:paraId="67D94A81" w14:textId="5D99A7C3" w:rsidR="00FF6D94" w:rsidRDefault="00F8247E">
          <w:pPr>
            <w:pStyle w:val="TOC3"/>
            <w:tabs>
              <w:tab w:val="left" w:pos="1320"/>
              <w:tab w:val="right" w:leader="dot" w:pos="8630"/>
            </w:tabs>
            <w:rPr>
              <w:noProof/>
              <w:lang w:val="fr-CA" w:eastAsia="zh-CN" w:bidi="ar-SA"/>
            </w:rPr>
          </w:pPr>
          <w:hyperlink w:anchor="_Toc465080748" w:history="1">
            <w:r w:rsidR="00FF6D94" w:rsidRPr="00E95EF8">
              <w:rPr>
                <w:rStyle w:val="Hyperlink"/>
                <w:noProof/>
              </w:rPr>
              <w:t>2.7.2</w:t>
            </w:r>
            <w:r w:rsidR="00FF6D94">
              <w:rPr>
                <w:noProof/>
                <w:lang w:val="fr-CA" w:eastAsia="zh-CN" w:bidi="ar-SA"/>
              </w:rPr>
              <w:tab/>
            </w:r>
            <w:r w:rsidR="00FF6D94" w:rsidRPr="00E95EF8">
              <w:rPr>
                <w:rStyle w:val="Hyperlink"/>
                <w:noProof/>
              </w:rPr>
              <w:t>Intégrité des moustiquaires :</w:t>
            </w:r>
            <w:r w:rsidR="00FF6D94">
              <w:rPr>
                <w:noProof/>
                <w:webHidden/>
              </w:rPr>
              <w:tab/>
            </w:r>
            <w:r w:rsidR="00FF6D94">
              <w:rPr>
                <w:noProof/>
                <w:webHidden/>
              </w:rPr>
              <w:fldChar w:fldCharType="begin"/>
            </w:r>
            <w:r w:rsidR="00FF6D94">
              <w:rPr>
                <w:noProof/>
                <w:webHidden/>
              </w:rPr>
              <w:instrText xml:space="preserve"> PAGEREF _Toc465080748 \h </w:instrText>
            </w:r>
            <w:r w:rsidR="00FF6D94">
              <w:rPr>
                <w:noProof/>
                <w:webHidden/>
              </w:rPr>
            </w:r>
            <w:r w:rsidR="00FF6D94">
              <w:rPr>
                <w:noProof/>
                <w:webHidden/>
              </w:rPr>
              <w:fldChar w:fldCharType="separate"/>
            </w:r>
            <w:r w:rsidR="00FF6D94">
              <w:rPr>
                <w:noProof/>
                <w:webHidden/>
              </w:rPr>
              <w:t>14</w:t>
            </w:r>
            <w:r w:rsidR="00FF6D94">
              <w:rPr>
                <w:noProof/>
                <w:webHidden/>
              </w:rPr>
              <w:fldChar w:fldCharType="end"/>
            </w:r>
          </w:hyperlink>
        </w:p>
        <w:p w14:paraId="160C3139" w14:textId="620008FE" w:rsidR="00FF6D94" w:rsidRDefault="00F8247E">
          <w:pPr>
            <w:pStyle w:val="TOC3"/>
            <w:tabs>
              <w:tab w:val="left" w:pos="1320"/>
              <w:tab w:val="right" w:leader="dot" w:pos="8630"/>
            </w:tabs>
            <w:rPr>
              <w:noProof/>
              <w:lang w:val="fr-CA" w:eastAsia="zh-CN" w:bidi="ar-SA"/>
            </w:rPr>
          </w:pPr>
          <w:hyperlink w:anchor="_Toc465080749" w:history="1">
            <w:r w:rsidR="00FF6D94" w:rsidRPr="00E95EF8">
              <w:rPr>
                <w:rStyle w:val="Hyperlink"/>
                <w:noProof/>
              </w:rPr>
              <w:t>2.7.3</w:t>
            </w:r>
            <w:r w:rsidR="00FF6D94">
              <w:rPr>
                <w:noProof/>
                <w:lang w:val="fr-CA" w:eastAsia="zh-CN" w:bidi="ar-SA"/>
              </w:rPr>
              <w:tab/>
            </w:r>
            <w:r w:rsidR="00FF6D94" w:rsidRPr="00E95EF8">
              <w:rPr>
                <w:rStyle w:val="Hyperlink"/>
                <w:noProof/>
              </w:rPr>
              <w:t>Survie des moustiquaires :</w:t>
            </w:r>
            <w:r w:rsidR="00FF6D94">
              <w:rPr>
                <w:noProof/>
                <w:webHidden/>
              </w:rPr>
              <w:tab/>
            </w:r>
            <w:r w:rsidR="00FF6D94">
              <w:rPr>
                <w:noProof/>
                <w:webHidden/>
              </w:rPr>
              <w:fldChar w:fldCharType="begin"/>
            </w:r>
            <w:r w:rsidR="00FF6D94">
              <w:rPr>
                <w:noProof/>
                <w:webHidden/>
              </w:rPr>
              <w:instrText xml:space="preserve"> PAGEREF _Toc465080749 \h </w:instrText>
            </w:r>
            <w:r w:rsidR="00FF6D94">
              <w:rPr>
                <w:noProof/>
                <w:webHidden/>
              </w:rPr>
            </w:r>
            <w:r w:rsidR="00FF6D94">
              <w:rPr>
                <w:noProof/>
                <w:webHidden/>
              </w:rPr>
              <w:fldChar w:fldCharType="separate"/>
            </w:r>
            <w:r w:rsidR="00FF6D94">
              <w:rPr>
                <w:noProof/>
                <w:webHidden/>
              </w:rPr>
              <w:t>15</w:t>
            </w:r>
            <w:r w:rsidR="00FF6D94">
              <w:rPr>
                <w:noProof/>
                <w:webHidden/>
              </w:rPr>
              <w:fldChar w:fldCharType="end"/>
            </w:r>
          </w:hyperlink>
        </w:p>
        <w:p w14:paraId="6CC922EF" w14:textId="1655EDDE" w:rsidR="00FF6D94" w:rsidRDefault="00F8247E">
          <w:pPr>
            <w:pStyle w:val="TOC3"/>
            <w:tabs>
              <w:tab w:val="left" w:pos="1320"/>
              <w:tab w:val="right" w:leader="dot" w:pos="8630"/>
            </w:tabs>
            <w:rPr>
              <w:noProof/>
              <w:lang w:val="fr-CA" w:eastAsia="zh-CN" w:bidi="ar-SA"/>
            </w:rPr>
          </w:pPr>
          <w:hyperlink w:anchor="_Toc465080750" w:history="1">
            <w:r w:rsidR="00FF6D94" w:rsidRPr="00E95EF8">
              <w:rPr>
                <w:rStyle w:val="Hyperlink"/>
                <w:noProof/>
              </w:rPr>
              <w:t>2.7.4</w:t>
            </w:r>
            <w:r w:rsidR="00FF6D94">
              <w:rPr>
                <w:noProof/>
                <w:lang w:val="fr-CA" w:eastAsia="zh-CN" w:bidi="ar-SA"/>
              </w:rPr>
              <w:tab/>
            </w:r>
            <w:r w:rsidR="00FF6D94" w:rsidRPr="00E95EF8">
              <w:rPr>
                <w:rStyle w:val="Hyperlink"/>
                <w:noProof/>
              </w:rPr>
              <w:t>Survie médiane des moustiquaires :</w:t>
            </w:r>
            <w:r w:rsidR="00FF6D94">
              <w:rPr>
                <w:noProof/>
                <w:webHidden/>
              </w:rPr>
              <w:tab/>
            </w:r>
            <w:r w:rsidR="00FF6D94">
              <w:rPr>
                <w:noProof/>
                <w:webHidden/>
              </w:rPr>
              <w:fldChar w:fldCharType="begin"/>
            </w:r>
            <w:r w:rsidR="00FF6D94">
              <w:rPr>
                <w:noProof/>
                <w:webHidden/>
              </w:rPr>
              <w:instrText xml:space="preserve"> PAGEREF _Toc465080750 \h </w:instrText>
            </w:r>
            <w:r w:rsidR="00FF6D94">
              <w:rPr>
                <w:noProof/>
                <w:webHidden/>
              </w:rPr>
            </w:r>
            <w:r w:rsidR="00FF6D94">
              <w:rPr>
                <w:noProof/>
                <w:webHidden/>
              </w:rPr>
              <w:fldChar w:fldCharType="separate"/>
            </w:r>
            <w:r w:rsidR="00FF6D94">
              <w:rPr>
                <w:noProof/>
                <w:webHidden/>
              </w:rPr>
              <w:t>15</w:t>
            </w:r>
            <w:r w:rsidR="00FF6D94">
              <w:rPr>
                <w:noProof/>
                <w:webHidden/>
              </w:rPr>
              <w:fldChar w:fldCharType="end"/>
            </w:r>
          </w:hyperlink>
        </w:p>
        <w:p w14:paraId="7B4E12BF" w14:textId="2BC76B21" w:rsidR="00FF6D94" w:rsidRDefault="00F8247E">
          <w:pPr>
            <w:pStyle w:val="TOC3"/>
            <w:tabs>
              <w:tab w:val="left" w:pos="1320"/>
              <w:tab w:val="right" w:leader="dot" w:pos="8630"/>
            </w:tabs>
            <w:rPr>
              <w:noProof/>
              <w:lang w:val="fr-CA" w:eastAsia="zh-CN" w:bidi="ar-SA"/>
            </w:rPr>
          </w:pPr>
          <w:hyperlink w:anchor="_Toc465080751" w:history="1">
            <w:r w:rsidR="00FF6D94" w:rsidRPr="00E95EF8">
              <w:rPr>
                <w:rStyle w:val="Hyperlink"/>
                <w:noProof/>
              </w:rPr>
              <w:t>2.7.5</w:t>
            </w:r>
            <w:r w:rsidR="00FF6D94">
              <w:rPr>
                <w:noProof/>
                <w:lang w:val="fr-CA" w:eastAsia="zh-CN" w:bidi="ar-SA"/>
              </w:rPr>
              <w:tab/>
            </w:r>
            <w:r w:rsidR="00FF6D94" w:rsidRPr="00E95EF8">
              <w:rPr>
                <w:rStyle w:val="Hyperlink"/>
                <w:noProof/>
              </w:rPr>
              <w:t>Résidus chimiques :</w:t>
            </w:r>
            <w:r w:rsidR="00FF6D94">
              <w:rPr>
                <w:noProof/>
                <w:webHidden/>
              </w:rPr>
              <w:tab/>
            </w:r>
            <w:r w:rsidR="00FF6D94">
              <w:rPr>
                <w:noProof/>
                <w:webHidden/>
              </w:rPr>
              <w:fldChar w:fldCharType="begin"/>
            </w:r>
            <w:r w:rsidR="00FF6D94">
              <w:rPr>
                <w:noProof/>
                <w:webHidden/>
              </w:rPr>
              <w:instrText xml:space="preserve"> PAGEREF _Toc465080751 \h </w:instrText>
            </w:r>
            <w:r w:rsidR="00FF6D94">
              <w:rPr>
                <w:noProof/>
                <w:webHidden/>
              </w:rPr>
            </w:r>
            <w:r w:rsidR="00FF6D94">
              <w:rPr>
                <w:noProof/>
                <w:webHidden/>
              </w:rPr>
              <w:fldChar w:fldCharType="separate"/>
            </w:r>
            <w:r w:rsidR="00FF6D94">
              <w:rPr>
                <w:noProof/>
                <w:webHidden/>
              </w:rPr>
              <w:t>15</w:t>
            </w:r>
            <w:r w:rsidR="00FF6D94">
              <w:rPr>
                <w:noProof/>
                <w:webHidden/>
              </w:rPr>
              <w:fldChar w:fldCharType="end"/>
            </w:r>
          </w:hyperlink>
        </w:p>
        <w:p w14:paraId="7D322730" w14:textId="6F01E37B" w:rsidR="00FF6D94" w:rsidRDefault="00F8247E">
          <w:pPr>
            <w:pStyle w:val="TOC3"/>
            <w:tabs>
              <w:tab w:val="left" w:pos="1320"/>
              <w:tab w:val="right" w:leader="dot" w:pos="8630"/>
            </w:tabs>
            <w:rPr>
              <w:noProof/>
              <w:lang w:val="fr-CA" w:eastAsia="zh-CN" w:bidi="ar-SA"/>
            </w:rPr>
          </w:pPr>
          <w:hyperlink w:anchor="_Toc465080752" w:history="1">
            <w:r w:rsidR="00FF6D94" w:rsidRPr="00E95EF8">
              <w:rPr>
                <w:rStyle w:val="Hyperlink"/>
                <w:noProof/>
              </w:rPr>
              <w:t>2.7.6</w:t>
            </w:r>
            <w:r w:rsidR="00FF6D94">
              <w:rPr>
                <w:noProof/>
                <w:lang w:val="fr-CA" w:eastAsia="zh-CN" w:bidi="ar-SA"/>
              </w:rPr>
              <w:tab/>
            </w:r>
            <w:r w:rsidR="00FF6D94" w:rsidRPr="00E95EF8">
              <w:rPr>
                <w:rStyle w:val="Hyperlink"/>
                <w:noProof/>
              </w:rPr>
              <w:t>Bio-essais :</w:t>
            </w:r>
            <w:r w:rsidR="00FF6D94">
              <w:rPr>
                <w:noProof/>
                <w:webHidden/>
              </w:rPr>
              <w:tab/>
            </w:r>
            <w:r w:rsidR="00FF6D94">
              <w:rPr>
                <w:noProof/>
                <w:webHidden/>
              </w:rPr>
              <w:fldChar w:fldCharType="begin"/>
            </w:r>
            <w:r w:rsidR="00FF6D94">
              <w:rPr>
                <w:noProof/>
                <w:webHidden/>
              </w:rPr>
              <w:instrText xml:space="preserve"> PAGEREF _Toc465080752 \h </w:instrText>
            </w:r>
            <w:r w:rsidR="00FF6D94">
              <w:rPr>
                <w:noProof/>
                <w:webHidden/>
              </w:rPr>
            </w:r>
            <w:r w:rsidR="00FF6D94">
              <w:rPr>
                <w:noProof/>
                <w:webHidden/>
              </w:rPr>
              <w:fldChar w:fldCharType="separate"/>
            </w:r>
            <w:r w:rsidR="00FF6D94">
              <w:rPr>
                <w:noProof/>
                <w:webHidden/>
              </w:rPr>
              <w:t>15</w:t>
            </w:r>
            <w:r w:rsidR="00FF6D94">
              <w:rPr>
                <w:noProof/>
                <w:webHidden/>
              </w:rPr>
              <w:fldChar w:fldCharType="end"/>
            </w:r>
          </w:hyperlink>
        </w:p>
        <w:p w14:paraId="08165BBF" w14:textId="384E8CBA" w:rsidR="00FF6D94" w:rsidRDefault="00F8247E">
          <w:pPr>
            <w:pStyle w:val="TOC2"/>
            <w:tabs>
              <w:tab w:val="left" w:pos="880"/>
              <w:tab w:val="right" w:leader="dot" w:pos="8630"/>
            </w:tabs>
            <w:rPr>
              <w:noProof/>
              <w:lang w:val="fr-CA" w:eastAsia="zh-CN" w:bidi="ar-SA"/>
            </w:rPr>
          </w:pPr>
          <w:hyperlink w:anchor="_Toc465080753" w:history="1">
            <w:r w:rsidR="00FF6D94" w:rsidRPr="00E95EF8">
              <w:rPr>
                <w:rStyle w:val="Hyperlink"/>
                <w:noProof/>
              </w:rPr>
              <w:t>2.8</w:t>
            </w:r>
            <w:r w:rsidR="00FF6D94">
              <w:rPr>
                <w:noProof/>
                <w:lang w:val="fr-CA" w:eastAsia="zh-CN" w:bidi="ar-SA"/>
              </w:rPr>
              <w:tab/>
            </w:r>
            <w:r w:rsidR="00FF6D94" w:rsidRPr="00E95EF8">
              <w:rPr>
                <w:rStyle w:val="Hyperlink"/>
                <w:noProof/>
              </w:rPr>
              <w:t>Analyse et reporting des données</w:t>
            </w:r>
            <w:r w:rsidR="00FF6D94">
              <w:rPr>
                <w:noProof/>
                <w:webHidden/>
              </w:rPr>
              <w:tab/>
            </w:r>
            <w:r w:rsidR="00FF6D94">
              <w:rPr>
                <w:noProof/>
                <w:webHidden/>
              </w:rPr>
              <w:fldChar w:fldCharType="begin"/>
            </w:r>
            <w:r w:rsidR="00FF6D94">
              <w:rPr>
                <w:noProof/>
                <w:webHidden/>
              </w:rPr>
              <w:instrText xml:space="preserve"> PAGEREF _Toc465080753 \h </w:instrText>
            </w:r>
            <w:r w:rsidR="00FF6D94">
              <w:rPr>
                <w:noProof/>
                <w:webHidden/>
              </w:rPr>
            </w:r>
            <w:r w:rsidR="00FF6D94">
              <w:rPr>
                <w:noProof/>
                <w:webHidden/>
              </w:rPr>
              <w:fldChar w:fldCharType="separate"/>
            </w:r>
            <w:r w:rsidR="00FF6D94">
              <w:rPr>
                <w:noProof/>
                <w:webHidden/>
              </w:rPr>
              <w:t>15</w:t>
            </w:r>
            <w:r w:rsidR="00FF6D94">
              <w:rPr>
                <w:noProof/>
                <w:webHidden/>
              </w:rPr>
              <w:fldChar w:fldCharType="end"/>
            </w:r>
          </w:hyperlink>
        </w:p>
        <w:p w14:paraId="5CCA52E0" w14:textId="4A61FE53" w:rsidR="00FF6D94" w:rsidRDefault="00F8247E">
          <w:pPr>
            <w:pStyle w:val="TOC1"/>
            <w:tabs>
              <w:tab w:val="left" w:pos="440"/>
              <w:tab w:val="right" w:leader="dot" w:pos="8630"/>
            </w:tabs>
            <w:rPr>
              <w:noProof/>
              <w:lang w:val="fr-CA" w:eastAsia="zh-CN" w:bidi="ar-SA"/>
            </w:rPr>
          </w:pPr>
          <w:hyperlink w:anchor="_Toc465080754" w:history="1">
            <w:r w:rsidR="00FF6D94" w:rsidRPr="00E95EF8">
              <w:rPr>
                <w:rStyle w:val="Hyperlink"/>
                <w:noProof/>
              </w:rPr>
              <w:t>3</w:t>
            </w:r>
            <w:r w:rsidR="00FF6D94">
              <w:rPr>
                <w:noProof/>
                <w:lang w:val="fr-CA" w:eastAsia="zh-CN" w:bidi="ar-SA"/>
              </w:rPr>
              <w:tab/>
            </w:r>
            <w:r w:rsidR="00FF6D94" w:rsidRPr="00E95EF8">
              <w:rPr>
                <w:rStyle w:val="Hyperlink"/>
                <w:noProof/>
              </w:rPr>
              <w:t>Considérations déontologiques</w:t>
            </w:r>
            <w:r w:rsidR="00FF6D94">
              <w:rPr>
                <w:noProof/>
                <w:webHidden/>
              </w:rPr>
              <w:tab/>
            </w:r>
            <w:r w:rsidR="00FF6D94">
              <w:rPr>
                <w:noProof/>
                <w:webHidden/>
              </w:rPr>
              <w:fldChar w:fldCharType="begin"/>
            </w:r>
            <w:r w:rsidR="00FF6D94">
              <w:rPr>
                <w:noProof/>
                <w:webHidden/>
              </w:rPr>
              <w:instrText xml:space="preserve"> PAGEREF _Toc465080754 \h </w:instrText>
            </w:r>
            <w:r w:rsidR="00FF6D94">
              <w:rPr>
                <w:noProof/>
                <w:webHidden/>
              </w:rPr>
            </w:r>
            <w:r w:rsidR="00FF6D94">
              <w:rPr>
                <w:noProof/>
                <w:webHidden/>
              </w:rPr>
              <w:fldChar w:fldCharType="separate"/>
            </w:r>
            <w:r w:rsidR="00FF6D94">
              <w:rPr>
                <w:noProof/>
                <w:webHidden/>
              </w:rPr>
              <w:t>17</w:t>
            </w:r>
            <w:r w:rsidR="00FF6D94">
              <w:rPr>
                <w:noProof/>
                <w:webHidden/>
              </w:rPr>
              <w:fldChar w:fldCharType="end"/>
            </w:r>
          </w:hyperlink>
        </w:p>
        <w:p w14:paraId="58DA46D2" w14:textId="0B32688E" w:rsidR="00FF6D94" w:rsidRDefault="00F8247E">
          <w:pPr>
            <w:pStyle w:val="TOC2"/>
            <w:tabs>
              <w:tab w:val="left" w:pos="880"/>
              <w:tab w:val="right" w:leader="dot" w:pos="8630"/>
            </w:tabs>
            <w:rPr>
              <w:noProof/>
              <w:lang w:val="fr-CA" w:eastAsia="zh-CN" w:bidi="ar-SA"/>
            </w:rPr>
          </w:pPr>
          <w:hyperlink w:anchor="_Toc465080755" w:history="1">
            <w:r w:rsidR="00FF6D94" w:rsidRPr="00E95EF8">
              <w:rPr>
                <w:rStyle w:val="Hyperlink"/>
                <w:noProof/>
              </w:rPr>
              <w:t>3.1</w:t>
            </w:r>
            <w:r w:rsidR="00FF6D94">
              <w:rPr>
                <w:noProof/>
                <w:lang w:val="fr-CA" w:eastAsia="zh-CN" w:bidi="ar-SA"/>
              </w:rPr>
              <w:tab/>
            </w:r>
            <w:r w:rsidR="00FF6D94" w:rsidRPr="00E95EF8">
              <w:rPr>
                <w:rStyle w:val="Hyperlink"/>
                <w:noProof/>
              </w:rPr>
              <w:t>Consentement éclairé</w:t>
            </w:r>
            <w:r w:rsidR="00FF6D94">
              <w:rPr>
                <w:noProof/>
                <w:webHidden/>
              </w:rPr>
              <w:tab/>
            </w:r>
            <w:r w:rsidR="00FF6D94">
              <w:rPr>
                <w:noProof/>
                <w:webHidden/>
              </w:rPr>
              <w:fldChar w:fldCharType="begin"/>
            </w:r>
            <w:r w:rsidR="00FF6D94">
              <w:rPr>
                <w:noProof/>
                <w:webHidden/>
              </w:rPr>
              <w:instrText xml:space="preserve"> PAGEREF _Toc465080755 \h </w:instrText>
            </w:r>
            <w:r w:rsidR="00FF6D94">
              <w:rPr>
                <w:noProof/>
                <w:webHidden/>
              </w:rPr>
            </w:r>
            <w:r w:rsidR="00FF6D94">
              <w:rPr>
                <w:noProof/>
                <w:webHidden/>
              </w:rPr>
              <w:fldChar w:fldCharType="separate"/>
            </w:r>
            <w:r w:rsidR="00FF6D94">
              <w:rPr>
                <w:noProof/>
                <w:webHidden/>
              </w:rPr>
              <w:t>17</w:t>
            </w:r>
            <w:r w:rsidR="00FF6D94">
              <w:rPr>
                <w:noProof/>
                <w:webHidden/>
              </w:rPr>
              <w:fldChar w:fldCharType="end"/>
            </w:r>
          </w:hyperlink>
        </w:p>
        <w:p w14:paraId="48DBD243" w14:textId="36DAD2A2" w:rsidR="00FF6D94" w:rsidRDefault="00F8247E">
          <w:pPr>
            <w:pStyle w:val="TOC2"/>
            <w:tabs>
              <w:tab w:val="left" w:pos="880"/>
              <w:tab w:val="right" w:leader="dot" w:pos="8630"/>
            </w:tabs>
            <w:rPr>
              <w:noProof/>
              <w:lang w:val="fr-CA" w:eastAsia="zh-CN" w:bidi="ar-SA"/>
            </w:rPr>
          </w:pPr>
          <w:hyperlink w:anchor="_Toc465080756" w:history="1">
            <w:r w:rsidR="00FF6D94" w:rsidRPr="00E95EF8">
              <w:rPr>
                <w:rStyle w:val="Hyperlink"/>
                <w:noProof/>
              </w:rPr>
              <w:t>3.2</w:t>
            </w:r>
            <w:r w:rsidR="00FF6D94">
              <w:rPr>
                <w:noProof/>
                <w:lang w:val="fr-CA" w:eastAsia="zh-CN" w:bidi="ar-SA"/>
              </w:rPr>
              <w:tab/>
            </w:r>
            <w:r w:rsidR="00FF6D94" w:rsidRPr="00E95EF8">
              <w:rPr>
                <w:rStyle w:val="Hyperlink"/>
                <w:noProof/>
              </w:rPr>
              <w:t>Avantage maximal - danger minimal</w:t>
            </w:r>
            <w:r w:rsidR="00FF6D94">
              <w:rPr>
                <w:noProof/>
                <w:webHidden/>
              </w:rPr>
              <w:tab/>
            </w:r>
            <w:r w:rsidR="00FF6D94">
              <w:rPr>
                <w:noProof/>
                <w:webHidden/>
              </w:rPr>
              <w:fldChar w:fldCharType="begin"/>
            </w:r>
            <w:r w:rsidR="00FF6D94">
              <w:rPr>
                <w:noProof/>
                <w:webHidden/>
              </w:rPr>
              <w:instrText xml:space="preserve"> PAGEREF _Toc465080756 \h </w:instrText>
            </w:r>
            <w:r w:rsidR="00FF6D94">
              <w:rPr>
                <w:noProof/>
                <w:webHidden/>
              </w:rPr>
            </w:r>
            <w:r w:rsidR="00FF6D94">
              <w:rPr>
                <w:noProof/>
                <w:webHidden/>
              </w:rPr>
              <w:fldChar w:fldCharType="separate"/>
            </w:r>
            <w:r w:rsidR="00FF6D94">
              <w:rPr>
                <w:noProof/>
                <w:webHidden/>
              </w:rPr>
              <w:t>17</w:t>
            </w:r>
            <w:r w:rsidR="00FF6D94">
              <w:rPr>
                <w:noProof/>
                <w:webHidden/>
              </w:rPr>
              <w:fldChar w:fldCharType="end"/>
            </w:r>
          </w:hyperlink>
        </w:p>
        <w:p w14:paraId="341E245D" w14:textId="6436B0E5" w:rsidR="00FF6D94" w:rsidRDefault="00F8247E">
          <w:pPr>
            <w:pStyle w:val="TOC2"/>
            <w:tabs>
              <w:tab w:val="left" w:pos="880"/>
              <w:tab w:val="right" w:leader="dot" w:pos="8630"/>
            </w:tabs>
            <w:rPr>
              <w:noProof/>
              <w:lang w:val="fr-CA" w:eastAsia="zh-CN" w:bidi="ar-SA"/>
            </w:rPr>
          </w:pPr>
          <w:hyperlink w:anchor="_Toc465080757" w:history="1">
            <w:r w:rsidR="00FF6D94" w:rsidRPr="00E95EF8">
              <w:rPr>
                <w:rStyle w:val="Hyperlink"/>
                <w:noProof/>
              </w:rPr>
              <w:t>3.3</w:t>
            </w:r>
            <w:r w:rsidR="00FF6D94">
              <w:rPr>
                <w:noProof/>
                <w:lang w:val="fr-CA" w:eastAsia="zh-CN" w:bidi="ar-SA"/>
              </w:rPr>
              <w:tab/>
            </w:r>
            <w:r w:rsidR="00FF6D94" w:rsidRPr="00E95EF8">
              <w:rPr>
                <w:rStyle w:val="Hyperlink"/>
                <w:noProof/>
              </w:rPr>
              <w:t>Confidentialité</w:t>
            </w:r>
            <w:r w:rsidR="00FF6D94">
              <w:rPr>
                <w:noProof/>
                <w:webHidden/>
              </w:rPr>
              <w:tab/>
            </w:r>
            <w:r w:rsidR="00FF6D94">
              <w:rPr>
                <w:noProof/>
                <w:webHidden/>
              </w:rPr>
              <w:fldChar w:fldCharType="begin"/>
            </w:r>
            <w:r w:rsidR="00FF6D94">
              <w:rPr>
                <w:noProof/>
                <w:webHidden/>
              </w:rPr>
              <w:instrText xml:space="preserve"> PAGEREF _Toc465080757 \h </w:instrText>
            </w:r>
            <w:r w:rsidR="00FF6D94">
              <w:rPr>
                <w:noProof/>
                <w:webHidden/>
              </w:rPr>
            </w:r>
            <w:r w:rsidR="00FF6D94">
              <w:rPr>
                <w:noProof/>
                <w:webHidden/>
              </w:rPr>
              <w:fldChar w:fldCharType="separate"/>
            </w:r>
            <w:r w:rsidR="00FF6D94">
              <w:rPr>
                <w:noProof/>
                <w:webHidden/>
              </w:rPr>
              <w:t>17</w:t>
            </w:r>
            <w:r w:rsidR="00FF6D94">
              <w:rPr>
                <w:noProof/>
                <w:webHidden/>
              </w:rPr>
              <w:fldChar w:fldCharType="end"/>
            </w:r>
          </w:hyperlink>
        </w:p>
        <w:p w14:paraId="0365DD54" w14:textId="091EC6D4" w:rsidR="00FF6D94" w:rsidRDefault="00F8247E">
          <w:pPr>
            <w:pStyle w:val="TOC2"/>
            <w:tabs>
              <w:tab w:val="left" w:pos="880"/>
              <w:tab w:val="right" w:leader="dot" w:pos="8630"/>
            </w:tabs>
            <w:rPr>
              <w:noProof/>
              <w:lang w:val="fr-CA" w:eastAsia="zh-CN" w:bidi="ar-SA"/>
            </w:rPr>
          </w:pPr>
          <w:hyperlink w:anchor="_Toc465080758" w:history="1">
            <w:r w:rsidR="00FF6D94" w:rsidRPr="00E95EF8">
              <w:rPr>
                <w:rStyle w:val="Hyperlink"/>
                <w:noProof/>
              </w:rPr>
              <w:t>3.4</w:t>
            </w:r>
            <w:r w:rsidR="00FF6D94">
              <w:rPr>
                <w:noProof/>
                <w:lang w:val="fr-CA" w:eastAsia="zh-CN" w:bidi="ar-SA"/>
              </w:rPr>
              <w:tab/>
            </w:r>
            <w:r w:rsidR="00FF6D94" w:rsidRPr="00E95EF8">
              <w:rPr>
                <w:rStyle w:val="Hyperlink"/>
                <w:noProof/>
              </w:rPr>
              <w:t>Conflit d’intérêts</w:t>
            </w:r>
            <w:r w:rsidR="00FF6D94">
              <w:rPr>
                <w:noProof/>
                <w:webHidden/>
              </w:rPr>
              <w:tab/>
            </w:r>
            <w:r w:rsidR="00FF6D94">
              <w:rPr>
                <w:noProof/>
                <w:webHidden/>
              </w:rPr>
              <w:fldChar w:fldCharType="begin"/>
            </w:r>
            <w:r w:rsidR="00FF6D94">
              <w:rPr>
                <w:noProof/>
                <w:webHidden/>
              </w:rPr>
              <w:instrText xml:space="preserve"> PAGEREF _Toc465080758 \h </w:instrText>
            </w:r>
            <w:r w:rsidR="00FF6D94">
              <w:rPr>
                <w:noProof/>
                <w:webHidden/>
              </w:rPr>
            </w:r>
            <w:r w:rsidR="00FF6D94">
              <w:rPr>
                <w:noProof/>
                <w:webHidden/>
              </w:rPr>
              <w:fldChar w:fldCharType="separate"/>
            </w:r>
            <w:r w:rsidR="00FF6D94">
              <w:rPr>
                <w:noProof/>
                <w:webHidden/>
              </w:rPr>
              <w:t>17</w:t>
            </w:r>
            <w:r w:rsidR="00FF6D94">
              <w:rPr>
                <w:noProof/>
                <w:webHidden/>
              </w:rPr>
              <w:fldChar w:fldCharType="end"/>
            </w:r>
          </w:hyperlink>
        </w:p>
        <w:p w14:paraId="75E89550" w14:textId="1A5E4793" w:rsidR="00FF6D94" w:rsidRDefault="00F8247E">
          <w:pPr>
            <w:pStyle w:val="TOC1"/>
            <w:tabs>
              <w:tab w:val="left" w:pos="440"/>
              <w:tab w:val="right" w:leader="dot" w:pos="8630"/>
            </w:tabs>
            <w:rPr>
              <w:noProof/>
              <w:lang w:val="fr-CA" w:eastAsia="zh-CN" w:bidi="ar-SA"/>
            </w:rPr>
          </w:pPr>
          <w:hyperlink w:anchor="_Toc465080759" w:history="1">
            <w:r w:rsidR="00FF6D94" w:rsidRPr="00E95EF8">
              <w:rPr>
                <w:rStyle w:val="Hyperlink"/>
                <w:noProof/>
              </w:rPr>
              <w:t>4</w:t>
            </w:r>
            <w:r w:rsidR="00FF6D94">
              <w:rPr>
                <w:noProof/>
                <w:lang w:val="fr-CA" w:eastAsia="zh-CN" w:bidi="ar-SA"/>
              </w:rPr>
              <w:tab/>
            </w:r>
            <w:r w:rsidR="00FF6D94" w:rsidRPr="00E95EF8">
              <w:rPr>
                <w:rStyle w:val="Hyperlink"/>
                <w:noProof/>
              </w:rPr>
              <w:t>Mise en œuvre et calendrier</w:t>
            </w:r>
            <w:r w:rsidR="00FF6D94">
              <w:rPr>
                <w:noProof/>
                <w:webHidden/>
              </w:rPr>
              <w:tab/>
            </w:r>
            <w:r w:rsidR="00FF6D94">
              <w:rPr>
                <w:noProof/>
                <w:webHidden/>
              </w:rPr>
              <w:fldChar w:fldCharType="begin"/>
            </w:r>
            <w:r w:rsidR="00FF6D94">
              <w:rPr>
                <w:noProof/>
                <w:webHidden/>
              </w:rPr>
              <w:instrText xml:space="preserve"> PAGEREF _Toc465080759 \h </w:instrText>
            </w:r>
            <w:r w:rsidR="00FF6D94">
              <w:rPr>
                <w:noProof/>
                <w:webHidden/>
              </w:rPr>
            </w:r>
            <w:r w:rsidR="00FF6D94">
              <w:rPr>
                <w:noProof/>
                <w:webHidden/>
              </w:rPr>
              <w:fldChar w:fldCharType="separate"/>
            </w:r>
            <w:r w:rsidR="00FF6D94">
              <w:rPr>
                <w:noProof/>
                <w:webHidden/>
              </w:rPr>
              <w:t>18</w:t>
            </w:r>
            <w:r w:rsidR="00FF6D94">
              <w:rPr>
                <w:noProof/>
                <w:webHidden/>
              </w:rPr>
              <w:fldChar w:fldCharType="end"/>
            </w:r>
          </w:hyperlink>
        </w:p>
        <w:p w14:paraId="76B507EF" w14:textId="264012AE" w:rsidR="00FF6D94" w:rsidRDefault="00F8247E">
          <w:pPr>
            <w:pStyle w:val="TOC2"/>
            <w:tabs>
              <w:tab w:val="left" w:pos="880"/>
              <w:tab w:val="right" w:leader="dot" w:pos="8630"/>
            </w:tabs>
            <w:rPr>
              <w:noProof/>
              <w:lang w:val="fr-CA" w:eastAsia="zh-CN" w:bidi="ar-SA"/>
            </w:rPr>
          </w:pPr>
          <w:hyperlink w:anchor="_Toc465080760" w:history="1">
            <w:r w:rsidR="00FF6D94" w:rsidRPr="00E95EF8">
              <w:rPr>
                <w:rStyle w:val="Hyperlink"/>
                <w:noProof/>
              </w:rPr>
              <w:t>4.1</w:t>
            </w:r>
            <w:r w:rsidR="00FF6D94">
              <w:rPr>
                <w:noProof/>
                <w:lang w:val="fr-CA" w:eastAsia="zh-CN" w:bidi="ar-SA"/>
              </w:rPr>
              <w:tab/>
            </w:r>
            <w:r w:rsidR="00FF6D94" w:rsidRPr="00E95EF8">
              <w:rPr>
                <w:rStyle w:val="Hyperlink"/>
                <w:noProof/>
              </w:rPr>
              <w:t>Rôles et responsabilités</w:t>
            </w:r>
            <w:r w:rsidR="00FF6D94">
              <w:rPr>
                <w:noProof/>
                <w:webHidden/>
              </w:rPr>
              <w:tab/>
            </w:r>
            <w:r w:rsidR="00FF6D94">
              <w:rPr>
                <w:noProof/>
                <w:webHidden/>
              </w:rPr>
              <w:fldChar w:fldCharType="begin"/>
            </w:r>
            <w:r w:rsidR="00FF6D94">
              <w:rPr>
                <w:noProof/>
                <w:webHidden/>
              </w:rPr>
              <w:instrText xml:space="preserve"> PAGEREF _Toc465080760 \h </w:instrText>
            </w:r>
            <w:r w:rsidR="00FF6D94">
              <w:rPr>
                <w:noProof/>
                <w:webHidden/>
              </w:rPr>
            </w:r>
            <w:r w:rsidR="00FF6D94">
              <w:rPr>
                <w:noProof/>
                <w:webHidden/>
              </w:rPr>
              <w:fldChar w:fldCharType="separate"/>
            </w:r>
            <w:r w:rsidR="00FF6D94">
              <w:rPr>
                <w:noProof/>
                <w:webHidden/>
              </w:rPr>
              <w:t>18</w:t>
            </w:r>
            <w:r w:rsidR="00FF6D94">
              <w:rPr>
                <w:noProof/>
                <w:webHidden/>
              </w:rPr>
              <w:fldChar w:fldCharType="end"/>
            </w:r>
          </w:hyperlink>
        </w:p>
        <w:p w14:paraId="19FE4EFE" w14:textId="484E9BE9" w:rsidR="00FF6D94" w:rsidRDefault="00F8247E">
          <w:pPr>
            <w:pStyle w:val="TOC2"/>
            <w:tabs>
              <w:tab w:val="left" w:pos="880"/>
              <w:tab w:val="right" w:leader="dot" w:pos="8630"/>
            </w:tabs>
            <w:rPr>
              <w:noProof/>
              <w:lang w:val="fr-CA" w:eastAsia="zh-CN" w:bidi="ar-SA"/>
            </w:rPr>
          </w:pPr>
          <w:hyperlink w:anchor="_Toc465080761" w:history="1">
            <w:r w:rsidR="00FF6D94" w:rsidRPr="00E95EF8">
              <w:rPr>
                <w:rStyle w:val="Hyperlink"/>
                <w:noProof/>
              </w:rPr>
              <w:t>4.2</w:t>
            </w:r>
            <w:r w:rsidR="00FF6D94">
              <w:rPr>
                <w:noProof/>
                <w:lang w:val="fr-CA" w:eastAsia="zh-CN" w:bidi="ar-SA"/>
              </w:rPr>
              <w:tab/>
            </w:r>
            <w:r w:rsidR="00FF6D94" w:rsidRPr="00E95EF8">
              <w:rPr>
                <w:rStyle w:val="Hyperlink"/>
                <w:noProof/>
              </w:rPr>
              <w:t>Calendrier</w:t>
            </w:r>
            <w:r w:rsidR="00FF6D94">
              <w:rPr>
                <w:noProof/>
                <w:webHidden/>
              </w:rPr>
              <w:tab/>
            </w:r>
            <w:r w:rsidR="00FF6D94">
              <w:rPr>
                <w:noProof/>
                <w:webHidden/>
              </w:rPr>
              <w:fldChar w:fldCharType="begin"/>
            </w:r>
            <w:r w:rsidR="00FF6D94">
              <w:rPr>
                <w:noProof/>
                <w:webHidden/>
              </w:rPr>
              <w:instrText xml:space="preserve"> PAGEREF _Toc465080761 \h </w:instrText>
            </w:r>
            <w:r w:rsidR="00FF6D94">
              <w:rPr>
                <w:noProof/>
                <w:webHidden/>
              </w:rPr>
            </w:r>
            <w:r w:rsidR="00FF6D94">
              <w:rPr>
                <w:noProof/>
                <w:webHidden/>
              </w:rPr>
              <w:fldChar w:fldCharType="separate"/>
            </w:r>
            <w:r w:rsidR="00FF6D94">
              <w:rPr>
                <w:noProof/>
                <w:webHidden/>
              </w:rPr>
              <w:t>18</w:t>
            </w:r>
            <w:r w:rsidR="00FF6D94">
              <w:rPr>
                <w:noProof/>
                <w:webHidden/>
              </w:rPr>
              <w:fldChar w:fldCharType="end"/>
            </w:r>
          </w:hyperlink>
        </w:p>
        <w:p w14:paraId="4C2920CB" w14:textId="2A942822" w:rsidR="00FF6D94" w:rsidRDefault="00F8247E">
          <w:pPr>
            <w:pStyle w:val="TOC1"/>
            <w:tabs>
              <w:tab w:val="left" w:pos="440"/>
              <w:tab w:val="right" w:leader="dot" w:pos="8630"/>
            </w:tabs>
            <w:rPr>
              <w:noProof/>
              <w:lang w:val="fr-CA" w:eastAsia="zh-CN" w:bidi="ar-SA"/>
            </w:rPr>
          </w:pPr>
          <w:hyperlink w:anchor="_Toc465080762" w:history="1">
            <w:r w:rsidR="00FF6D94" w:rsidRPr="00E95EF8">
              <w:rPr>
                <w:rStyle w:val="Hyperlink"/>
                <w:noProof/>
              </w:rPr>
              <w:t>5</w:t>
            </w:r>
            <w:r w:rsidR="00FF6D94">
              <w:rPr>
                <w:noProof/>
                <w:lang w:val="fr-CA" w:eastAsia="zh-CN" w:bidi="ar-SA"/>
              </w:rPr>
              <w:tab/>
            </w:r>
            <w:r w:rsidR="00FF6D94" w:rsidRPr="00E95EF8">
              <w:rPr>
                <w:rStyle w:val="Hyperlink"/>
                <w:noProof/>
              </w:rPr>
              <w:t>Personnel</w:t>
            </w:r>
            <w:r w:rsidR="00FF6D94">
              <w:rPr>
                <w:noProof/>
                <w:webHidden/>
              </w:rPr>
              <w:tab/>
            </w:r>
            <w:r w:rsidR="00FF6D94">
              <w:rPr>
                <w:noProof/>
                <w:webHidden/>
              </w:rPr>
              <w:fldChar w:fldCharType="begin"/>
            </w:r>
            <w:r w:rsidR="00FF6D94">
              <w:rPr>
                <w:noProof/>
                <w:webHidden/>
              </w:rPr>
              <w:instrText xml:space="preserve"> PAGEREF _Toc465080762 \h </w:instrText>
            </w:r>
            <w:r w:rsidR="00FF6D94">
              <w:rPr>
                <w:noProof/>
                <w:webHidden/>
              </w:rPr>
            </w:r>
            <w:r w:rsidR="00FF6D94">
              <w:rPr>
                <w:noProof/>
                <w:webHidden/>
              </w:rPr>
              <w:fldChar w:fldCharType="separate"/>
            </w:r>
            <w:r w:rsidR="00FF6D94">
              <w:rPr>
                <w:noProof/>
                <w:webHidden/>
              </w:rPr>
              <w:t>19</w:t>
            </w:r>
            <w:r w:rsidR="00FF6D94">
              <w:rPr>
                <w:noProof/>
                <w:webHidden/>
              </w:rPr>
              <w:fldChar w:fldCharType="end"/>
            </w:r>
          </w:hyperlink>
        </w:p>
        <w:p w14:paraId="60DBE043" w14:textId="2C518AE1" w:rsidR="00FF6D94" w:rsidRDefault="00F8247E">
          <w:pPr>
            <w:pStyle w:val="TOC1"/>
            <w:tabs>
              <w:tab w:val="left" w:pos="440"/>
              <w:tab w:val="right" w:leader="dot" w:pos="8630"/>
            </w:tabs>
            <w:rPr>
              <w:noProof/>
              <w:lang w:val="fr-CA" w:eastAsia="zh-CN" w:bidi="ar-SA"/>
            </w:rPr>
          </w:pPr>
          <w:hyperlink w:anchor="_Toc465080763" w:history="1">
            <w:r w:rsidR="00FF6D94" w:rsidRPr="00E95EF8">
              <w:rPr>
                <w:rStyle w:val="Hyperlink"/>
                <w:noProof/>
              </w:rPr>
              <w:t>6</w:t>
            </w:r>
            <w:r w:rsidR="00FF6D94">
              <w:rPr>
                <w:noProof/>
                <w:lang w:val="fr-CA" w:eastAsia="zh-CN" w:bidi="ar-SA"/>
              </w:rPr>
              <w:tab/>
            </w:r>
            <w:r w:rsidR="00FF6D94" w:rsidRPr="00E95EF8">
              <w:rPr>
                <w:rStyle w:val="Hyperlink"/>
                <w:noProof/>
              </w:rPr>
              <w:t>Références</w:t>
            </w:r>
            <w:r w:rsidR="00FF6D94">
              <w:rPr>
                <w:noProof/>
                <w:webHidden/>
              </w:rPr>
              <w:tab/>
            </w:r>
            <w:r w:rsidR="00FF6D94">
              <w:rPr>
                <w:noProof/>
                <w:webHidden/>
              </w:rPr>
              <w:fldChar w:fldCharType="begin"/>
            </w:r>
            <w:r w:rsidR="00FF6D94">
              <w:rPr>
                <w:noProof/>
                <w:webHidden/>
              </w:rPr>
              <w:instrText xml:space="preserve"> PAGEREF _Toc465080763 \h </w:instrText>
            </w:r>
            <w:r w:rsidR="00FF6D94">
              <w:rPr>
                <w:noProof/>
                <w:webHidden/>
              </w:rPr>
            </w:r>
            <w:r w:rsidR="00FF6D94">
              <w:rPr>
                <w:noProof/>
                <w:webHidden/>
              </w:rPr>
              <w:fldChar w:fldCharType="separate"/>
            </w:r>
            <w:r w:rsidR="00FF6D94">
              <w:rPr>
                <w:noProof/>
                <w:webHidden/>
              </w:rPr>
              <w:t>19</w:t>
            </w:r>
            <w:r w:rsidR="00FF6D94">
              <w:rPr>
                <w:noProof/>
                <w:webHidden/>
              </w:rPr>
              <w:fldChar w:fldCharType="end"/>
            </w:r>
          </w:hyperlink>
        </w:p>
        <w:p w14:paraId="13E484FD" w14:textId="0EAEA2F2" w:rsidR="00434151" w:rsidRPr="009B3B7E" w:rsidRDefault="0018533A">
          <w:pPr>
            <w:pStyle w:val="TOC1"/>
            <w:tabs>
              <w:tab w:val="left" w:pos="362"/>
              <w:tab w:val="right" w:leader="dot" w:pos="8630"/>
            </w:tabs>
            <w:rPr>
              <w:noProof/>
              <w:sz w:val="24"/>
              <w:szCs w:val="24"/>
            </w:rPr>
          </w:pPr>
          <w:r w:rsidRPr="009B3B7E">
            <w:rPr>
              <w:b/>
              <w:bCs/>
              <w:noProof/>
            </w:rPr>
            <w:fldChar w:fldCharType="end"/>
          </w:r>
        </w:p>
      </w:sdtContent>
    </w:sdt>
    <w:p w14:paraId="05A1523D" w14:textId="77777777" w:rsidR="00A94470" w:rsidRPr="009B3B7E" w:rsidRDefault="00A94470" w:rsidP="0018533A">
      <w:pPr>
        <w:pStyle w:val="Heading1"/>
        <w:numPr>
          <w:ilvl w:val="0"/>
          <w:numId w:val="28"/>
        </w:numPr>
      </w:pPr>
      <w:bookmarkStart w:id="4" w:name="_Toc305338803"/>
      <w:bookmarkStart w:id="5" w:name="_Toc465080727"/>
      <w:r w:rsidRPr="009B3B7E">
        <w:t>Contexte</w:t>
      </w:r>
      <w:bookmarkEnd w:id="4"/>
      <w:bookmarkEnd w:id="5"/>
    </w:p>
    <w:p w14:paraId="18DCB4AC" w14:textId="2760EDB8" w:rsidR="00A94470" w:rsidRPr="009B3B7E" w:rsidRDefault="00A94470" w:rsidP="00A94470">
      <w:pPr>
        <w:rPr>
          <w:rFonts w:ascii="Calibri" w:hAnsi="Calibri" w:cs="Arial"/>
        </w:rPr>
      </w:pPr>
      <w:r w:rsidRPr="009B3B7E">
        <w:rPr>
          <w:rFonts w:ascii="Calibri" w:hAnsi="Calibri"/>
        </w:rPr>
        <w:t>La prévention du paludisme à l’aide de moustiquaires imprégnées d’insecticide à longue durée d’action (MILD) a considérablement augmenté en Afrique subsaharienne ces dernières années. Dans de nombreux pays, la proportion de personnes possédant des MILD est désormais élevée et l’objectif de couverture universelle recommandée par l’OMS, c’est-à-dire une moustiquaire chez une personne sur deux parmi la population exposée, est en passe d’être atteint. Dans ce contexte, c’est désormais la pérennisation de cette réussite qui pose question : comment conserver ces taux élevés ? À cet égard, la durabilité et la durée de vie utile moyenne des moustiquaires sont de plus en plus acceptées comme faisant partie des facteurs centraux à prendre en compte par les programmes de lutte contre le paludisme. En effet, ces caractéristiques déterminent la fréquence à laquelle il faut changer les moustiquaires ainsi que le type de moustiquaire à utiliser. Cet enjeu est d’ailleurs souligné dans le guide de l’OMS pour le suivi des MILD sur le terrain, qui recommande aux pays de surveiller régulièrement la durée de vie des moustiquaires [1].</w:t>
      </w:r>
    </w:p>
    <w:p w14:paraId="660BDB09" w14:textId="77777777" w:rsidR="00A94470" w:rsidRPr="009B3B7E" w:rsidRDefault="00A94470" w:rsidP="00A94470">
      <w:pPr>
        <w:rPr>
          <w:rFonts w:ascii="Calibri" w:hAnsi="Calibri" w:cs="Arial"/>
        </w:rPr>
      </w:pPr>
      <w:r w:rsidRPr="009B3B7E">
        <w:rPr>
          <w:rFonts w:ascii="Calibri" w:hAnsi="Calibri"/>
        </w:rPr>
        <w:t>En 2013, l’OMS a émis des conseils techniques supplémentaires afin d’estimer la survie physique réelle et calculer la durée de vie médiane à partir de plusieurs données [2-3]. Cette méthode a permis plusieurs études qui mesurent l’efficacité de différentes MILD dans différentes zones [4-8]. Les résultats suggèrent que la durabilité physique de produits similaires peut considérablement varier – de deux à quatre ans, voire plus – et que ces écarts reposent largement sur des facteurs environnementaux et comportementaux. Ces observations ont été confirmées par une étude au Nigeria, où la communication pour le changement de comportement a significativement amélioré l’attitude des ménages vis-à-vis de l’entretien et de la réparation, ce qui a permis à ces foyers d’avoir des moustiquaires en bien meilleur état [9]. Par ailleurs, au Mozambique, une première étude a comparé la durée de vie de deux types de MILD entre 2008 et 2011 à Nampula [10]. Les résultats ont révélé une efficacité bien supérieure des MILD en polyester de 100 deniers, comparativement aux MILD en polyéthylène de 150 deniers. Cette étude a également montré une meilleure efficacité des moustiquaires dans les foyers éloignés des côtes (dans les terres), comparativement au littoral.</w:t>
      </w:r>
    </w:p>
    <w:p w14:paraId="6FDEDD15" w14:textId="77777777" w:rsidR="00A94470" w:rsidRPr="009B3B7E" w:rsidRDefault="00A94470" w:rsidP="00D65B73">
      <w:pPr>
        <w:pStyle w:val="Heading2"/>
      </w:pPr>
      <w:bookmarkStart w:id="6" w:name="_Toc305338804"/>
      <w:bookmarkStart w:id="7" w:name="_Toc465080728"/>
      <w:r w:rsidRPr="009B3B7E">
        <w:lastRenderedPageBreak/>
        <w:t>Objectifs</w:t>
      </w:r>
      <w:bookmarkEnd w:id="6"/>
      <w:bookmarkEnd w:id="7"/>
    </w:p>
    <w:p w14:paraId="53D44F49" w14:textId="4C8C7E1D" w:rsidR="00A94470" w:rsidRPr="009B3B7E" w:rsidRDefault="00A94470" w:rsidP="00A94470">
      <w:pPr>
        <w:rPr>
          <w:rFonts w:ascii="Calibri" w:hAnsi="Calibri"/>
        </w:rPr>
      </w:pPr>
      <w:r w:rsidRPr="009B3B7E">
        <w:rPr>
          <w:rFonts w:ascii="Calibri" w:hAnsi="Calibri"/>
        </w:rPr>
        <w:t>Les objectifs principaux de l’étude sont les suivants :</w:t>
      </w:r>
    </w:p>
    <w:p w14:paraId="12F289A6" w14:textId="7C488EF6" w:rsidR="00A94470" w:rsidRPr="009B3B7E" w:rsidRDefault="00A94470" w:rsidP="00A94470">
      <w:pPr>
        <w:numPr>
          <w:ilvl w:val="0"/>
          <w:numId w:val="10"/>
        </w:numPr>
        <w:rPr>
          <w:rFonts w:ascii="Calibri" w:hAnsi="Calibri"/>
        </w:rPr>
      </w:pPr>
      <w:proofErr w:type="gramStart"/>
      <w:r w:rsidRPr="009B3B7E">
        <w:rPr>
          <w:rFonts w:ascii="Calibri" w:hAnsi="Calibri"/>
        </w:rPr>
        <w:t>évaluer</w:t>
      </w:r>
      <w:proofErr w:type="gramEnd"/>
      <w:r w:rsidRPr="009B3B7E">
        <w:rPr>
          <w:rFonts w:ascii="Calibri" w:hAnsi="Calibri"/>
        </w:rPr>
        <w:t xml:space="preserve"> la durabilité physique des MILD (</w:t>
      </w:r>
      <w:commentRangeStart w:id="8"/>
      <w:r w:rsidRPr="009B3B7E">
        <w:rPr>
          <w:rFonts w:ascii="Calibri" w:hAnsi="Calibri"/>
          <w:i/>
        </w:rPr>
        <w:t>préciser la ou les marques à surveiller, par exemple la matière, les deniers, l’insecticide, etc</w:t>
      </w:r>
      <w:commentRangeEnd w:id="8"/>
      <w:r w:rsidRPr="009B3B7E">
        <w:rPr>
          <w:rStyle w:val="CommentReference"/>
        </w:rPr>
        <w:commentReference w:id="8"/>
      </w:r>
      <w:r w:rsidRPr="009B3B7E">
        <w:rPr>
          <w:rFonts w:ascii="Calibri" w:hAnsi="Calibri"/>
          <w:i/>
        </w:rPr>
        <w:t xml:space="preserve">.) </w:t>
      </w:r>
      <w:r w:rsidRPr="009B3B7E">
        <w:rPr>
          <w:rFonts w:ascii="Calibri" w:hAnsi="Calibri"/>
        </w:rPr>
        <w:t>dans (</w:t>
      </w:r>
      <w:commentRangeStart w:id="9"/>
      <w:r w:rsidRPr="009B3B7E">
        <w:rPr>
          <w:rFonts w:ascii="Calibri" w:hAnsi="Calibri"/>
          <w:i/>
        </w:rPr>
        <w:t>un ou plusieurs, le cas échéant</w:t>
      </w:r>
      <w:commentRangeEnd w:id="9"/>
      <w:r w:rsidRPr="009B3B7E">
        <w:rPr>
          <w:rStyle w:val="CommentReference"/>
        </w:rPr>
        <w:commentReference w:id="9"/>
      </w:r>
      <w:r w:rsidRPr="009B3B7E">
        <w:rPr>
          <w:rFonts w:ascii="Calibri" w:hAnsi="Calibri"/>
          <w:i/>
        </w:rPr>
        <w:t xml:space="preserve">) </w:t>
      </w:r>
      <w:r w:rsidRPr="009B3B7E">
        <w:rPr>
          <w:rFonts w:ascii="Calibri" w:hAnsi="Calibri"/>
        </w:rPr>
        <w:t>lieux pendant trois ans et estimer la survie médiane des MILD ;</w:t>
      </w:r>
    </w:p>
    <w:p w14:paraId="7D976EE1" w14:textId="77777777" w:rsidR="00A94470" w:rsidRPr="009B3B7E" w:rsidRDefault="00B344C5" w:rsidP="00A94470">
      <w:pPr>
        <w:numPr>
          <w:ilvl w:val="0"/>
          <w:numId w:val="10"/>
        </w:numPr>
        <w:rPr>
          <w:rFonts w:ascii="Calibri" w:hAnsi="Calibri"/>
        </w:rPr>
      </w:pPr>
      <w:r w:rsidRPr="009B3B7E">
        <w:rPr>
          <w:rFonts w:ascii="Calibri" w:hAnsi="Calibri"/>
        </w:rPr>
        <w:t>(</w:t>
      </w:r>
      <w:commentRangeStart w:id="10"/>
      <w:proofErr w:type="gramStart"/>
      <w:r w:rsidRPr="009B3B7E">
        <w:rPr>
          <w:rFonts w:ascii="Calibri" w:hAnsi="Calibri"/>
          <w:i/>
        </w:rPr>
        <w:t>le</w:t>
      </w:r>
      <w:proofErr w:type="gramEnd"/>
      <w:r w:rsidRPr="009B3B7E">
        <w:rPr>
          <w:rFonts w:ascii="Calibri" w:hAnsi="Calibri"/>
          <w:i/>
        </w:rPr>
        <w:t xml:space="preserve"> cas échéant)</w:t>
      </w:r>
      <w:commentRangeEnd w:id="10"/>
      <w:r w:rsidRPr="009B3B7E">
        <w:rPr>
          <w:rStyle w:val="CommentReference"/>
        </w:rPr>
        <w:commentReference w:id="10"/>
      </w:r>
      <w:r w:rsidRPr="009B3B7E">
        <w:rPr>
          <w:rFonts w:ascii="Calibri" w:hAnsi="Calibri"/>
          <w:i/>
        </w:rPr>
        <w:t xml:space="preserve"> </w:t>
      </w:r>
      <w:r w:rsidRPr="009B3B7E">
        <w:rPr>
          <w:rFonts w:ascii="Calibri" w:hAnsi="Calibri"/>
        </w:rPr>
        <w:t>comparer la durabilité dans différents lieux et identifier les grands facteurs qui déterminent l’efficacité sur le terrain.</w:t>
      </w:r>
    </w:p>
    <w:p w14:paraId="3585BC2E" w14:textId="44CF094F" w:rsidR="00A94470" w:rsidRPr="009B3B7E" w:rsidRDefault="00A94470" w:rsidP="00A94470">
      <w:pPr>
        <w:rPr>
          <w:rFonts w:ascii="Calibri" w:hAnsi="Calibri" w:cs="Arial"/>
        </w:rPr>
      </w:pPr>
      <w:r w:rsidRPr="009B3B7E">
        <w:rPr>
          <w:rFonts w:ascii="Calibri" w:hAnsi="Calibri"/>
        </w:rPr>
        <w:t>Les objectifs secondaires sont les suivants :</w:t>
      </w:r>
    </w:p>
    <w:p w14:paraId="6690EFB9" w14:textId="77777777" w:rsidR="00A94470" w:rsidRPr="009B3B7E" w:rsidRDefault="00A94470" w:rsidP="00A94470">
      <w:pPr>
        <w:pStyle w:val="ListParagraph"/>
        <w:numPr>
          <w:ilvl w:val="0"/>
          <w:numId w:val="21"/>
        </w:numPr>
        <w:rPr>
          <w:rFonts w:ascii="Calibri" w:hAnsi="Calibri" w:cs="Arial"/>
        </w:rPr>
      </w:pPr>
      <w:proofErr w:type="gramStart"/>
      <w:r w:rsidRPr="009B3B7E">
        <w:rPr>
          <w:rFonts w:ascii="Calibri" w:hAnsi="Calibri"/>
        </w:rPr>
        <w:t>décrire</w:t>
      </w:r>
      <w:proofErr w:type="gramEnd"/>
      <w:r w:rsidRPr="009B3B7E">
        <w:rPr>
          <w:rFonts w:ascii="Calibri" w:hAnsi="Calibri"/>
        </w:rPr>
        <w:t xml:space="preserve"> les grands aspects comportementaux qui régissent l’entretien et la réparation des moustiquaires, et décrire leur impact sur la durabilité physique ;</w:t>
      </w:r>
    </w:p>
    <w:p w14:paraId="61498331" w14:textId="66A000AB" w:rsidR="00A94470" w:rsidRPr="009B3B7E" w:rsidRDefault="00CF7897" w:rsidP="00A94470">
      <w:pPr>
        <w:pStyle w:val="ListParagraph"/>
        <w:numPr>
          <w:ilvl w:val="0"/>
          <w:numId w:val="21"/>
        </w:numPr>
        <w:rPr>
          <w:rFonts w:ascii="Calibri" w:hAnsi="Calibri" w:cs="Arial"/>
        </w:rPr>
      </w:pPr>
      <w:commentRangeStart w:id="11"/>
      <w:r w:rsidRPr="009B3B7E">
        <w:rPr>
          <w:rFonts w:ascii="Calibri" w:hAnsi="Calibri"/>
          <w:i/>
        </w:rPr>
        <w:t>(</w:t>
      </w:r>
      <w:proofErr w:type="gramStart"/>
      <w:r w:rsidRPr="009B3B7E">
        <w:rPr>
          <w:rFonts w:ascii="Calibri" w:hAnsi="Calibri"/>
          <w:i/>
        </w:rPr>
        <w:t>supprimer</w:t>
      </w:r>
      <w:proofErr w:type="gramEnd"/>
      <w:r w:rsidRPr="009B3B7E">
        <w:rPr>
          <w:rFonts w:ascii="Calibri" w:hAnsi="Calibri"/>
          <w:i/>
        </w:rPr>
        <w:t xml:space="preserve"> si impossible) </w:t>
      </w:r>
      <w:commentRangeEnd w:id="11"/>
      <w:r w:rsidRPr="009B3B7E">
        <w:rPr>
          <w:rStyle w:val="CommentReference"/>
        </w:rPr>
        <w:commentReference w:id="11"/>
      </w:r>
      <w:r w:rsidRPr="009B3B7E">
        <w:rPr>
          <w:rFonts w:ascii="Calibri" w:hAnsi="Calibri"/>
        </w:rPr>
        <w:t xml:space="preserve">évaluer l’efficacité de l’insecticide (résidus et bio-essais) </w:t>
      </w:r>
      <w:r w:rsidR="00062DF0">
        <w:rPr>
          <w:rFonts w:ascii="Calibri" w:hAnsi="Calibri"/>
        </w:rPr>
        <w:t>pendant</w:t>
      </w:r>
      <w:r w:rsidR="00062DF0" w:rsidRPr="009B3B7E">
        <w:rPr>
          <w:rFonts w:ascii="Calibri" w:hAnsi="Calibri"/>
        </w:rPr>
        <w:t xml:space="preserve"> </w:t>
      </w:r>
      <w:r w:rsidRPr="009B3B7E">
        <w:rPr>
          <w:rFonts w:ascii="Calibri" w:hAnsi="Calibri"/>
        </w:rPr>
        <w:t>trois ans d’utilisation sur le terrain ;</w:t>
      </w:r>
    </w:p>
    <w:p w14:paraId="5C3AD9B9" w14:textId="77777777" w:rsidR="00A94470" w:rsidRPr="009B3B7E" w:rsidRDefault="00B344C5" w:rsidP="00A94470">
      <w:pPr>
        <w:pStyle w:val="ListParagraph"/>
        <w:numPr>
          <w:ilvl w:val="0"/>
          <w:numId w:val="21"/>
        </w:numPr>
        <w:rPr>
          <w:rFonts w:ascii="Calibri" w:hAnsi="Calibri" w:cs="Arial"/>
        </w:rPr>
      </w:pPr>
      <w:r w:rsidRPr="009B3B7E">
        <w:rPr>
          <w:rFonts w:ascii="Calibri" w:hAnsi="Calibri"/>
        </w:rPr>
        <w:t>(</w:t>
      </w:r>
      <w:commentRangeStart w:id="12"/>
      <w:proofErr w:type="gramStart"/>
      <w:r w:rsidRPr="009B3B7E">
        <w:rPr>
          <w:rFonts w:ascii="Calibri" w:hAnsi="Calibri"/>
          <w:i/>
        </w:rPr>
        <w:t>facultatif</w:t>
      </w:r>
      <w:proofErr w:type="gramEnd"/>
      <w:r w:rsidRPr="009B3B7E">
        <w:rPr>
          <w:rFonts w:ascii="Calibri" w:hAnsi="Calibri"/>
          <w:i/>
        </w:rPr>
        <w:t xml:space="preserve"> … supprimer si ne s’applique pas</w:t>
      </w:r>
      <w:commentRangeEnd w:id="12"/>
      <w:r w:rsidRPr="009B3B7E">
        <w:rPr>
          <w:rStyle w:val="CommentReference"/>
        </w:rPr>
        <w:commentReference w:id="12"/>
      </w:r>
      <w:r w:rsidRPr="009B3B7E">
        <w:rPr>
          <w:rFonts w:ascii="Calibri" w:hAnsi="Calibri"/>
          <w:i/>
        </w:rPr>
        <w:t xml:space="preserve">) </w:t>
      </w:r>
      <w:r w:rsidRPr="009B3B7E">
        <w:rPr>
          <w:rFonts w:ascii="Calibri" w:hAnsi="Calibri"/>
        </w:rPr>
        <w:t>analyser les dégâts au niveau des moustiquaires après trois ans afin de déterminer la prévalence des mécanismes précis qui entraînent ces dégâts et afin de les comparer aux tests réalisés sur les produits à la sortie de l’usine (indice de résistance à l’endommagement).</w:t>
      </w:r>
    </w:p>
    <w:p w14:paraId="58BF6FC3" w14:textId="77777777" w:rsidR="00A94470" w:rsidRPr="009B3B7E" w:rsidRDefault="00A94470" w:rsidP="00D65B73">
      <w:pPr>
        <w:pStyle w:val="Heading2"/>
      </w:pPr>
      <w:bookmarkStart w:id="13" w:name="_Toc305338805"/>
      <w:bookmarkStart w:id="14" w:name="_Toc465080729"/>
      <w:r w:rsidRPr="009B3B7E">
        <w:t>Avantages et valeur attendus</w:t>
      </w:r>
      <w:bookmarkEnd w:id="13"/>
      <w:bookmarkEnd w:id="14"/>
    </w:p>
    <w:p w14:paraId="432F78B6" w14:textId="77777777" w:rsidR="00A94470" w:rsidRPr="009B3B7E" w:rsidRDefault="00A94470" w:rsidP="00A94470">
      <w:pPr>
        <w:rPr>
          <w:rFonts w:ascii="Calibri" w:hAnsi="Calibri" w:cs="Arial"/>
        </w:rPr>
      </w:pPr>
      <w:r w:rsidRPr="009B3B7E">
        <w:rPr>
          <w:rFonts w:ascii="Calibri" w:hAnsi="Calibri"/>
        </w:rPr>
        <w:t>Les résultats de l’étude proposée permettront de :</w:t>
      </w:r>
    </w:p>
    <w:p w14:paraId="0F36B50A" w14:textId="71422F9F" w:rsidR="00A94470" w:rsidRPr="009B3B7E" w:rsidRDefault="00A94470" w:rsidP="00A94470">
      <w:pPr>
        <w:numPr>
          <w:ilvl w:val="0"/>
          <w:numId w:val="6"/>
        </w:numPr>
        <w:rPr>
          <w:rFonts w:ascii="Calibri" w:hAnsi="Calibri" w:cs="Arial"/>
        </w:rPr>
      </w:pPr>
      <w:proofErr w:type="gramStart"/>
      <w:r w:rsidRPr="009B3B7E">
        <w:rPr>
          <w:rFonts w:ascii="Calibri" w:hAnsi="Calibri"/>
        </w:rPr>
        <w:t>fournir</w:t>
      </w:r>
      <w:proofErr w:type="gramEnd"/>
      <w:r w:rsidRPr="009B3B7E">
        <w:rPr>
          <w:rFonts w:ascii="Calibri" w:hAnsi="Calibri"/>
        </w:rPr>
        <w:t xml:space="preserve"> au Programme national intégré de lutte contre le paludisme, aux partenaires RBM et à la PMI des informations précieuses concernant l’efficacité ainsi qu’une estimation de la « durée de vie utile » des MILD (</w:t>
      </w:r>
      <w:commentRangeStart w:id="15"/>
      <w:r w:rsidRPr="009B3B7E">
        <w:rPr>
          <w:rFonts w:ascii="Calibri" w:hAnsi="Calibri"/>
          <w:i/>
        </w:rPr>
        <w:t>préciser la ou les marques</w:t>
      </w:r>
      <w:commentRangeEnd w:id="15"/>
      <w:r w:rsidRPr="009B3B7E">
        <w:rPr>
          <w:rStyle w:val="CommentReference"/>
        </w:rPr>
        <w:commentReference w:id="15"/>
      </w:r>
      <w:r w:rsidRPr="009B3B7E">
        <w:rPr>
          <w:rFonts w:ascii="Calibri" w:hAnsi="Calibri"/>
          <w:i/>
        </w:rPr>
        <w:t>)</w:t>
      </w:r>
      <w:r w:rsidRPr="009B3B7E">
        <w:t xml:space="preserve"> </w:t>
      </w:r>
      <w:r w:rsidRPr="009B3B7E">
        <w:rPr>
          <w:rFonts w:ascii="Calibri" w:hAnsi="Calibri"/>
        </w:rPr>
        <w:t>distribuées durant la campagne massive (</w:t>
      </w:r>
      <w:commentRangeStart w:id="16"/>
      <w:r w:rsidRPr="009B3B7E">
        <w:rPr>
          <w:rFonts w:ascii="Calibri" w:hAnsi="Calibri"/>
          <w:i/>
        </w:rPr>
        <w:t>supprimer la déclaration suivante si elle ne s’applique pas)</w:t>
      </w:r>
      <w:commentRangeEnd w:id="16"/>
      <w:r w:rsidRPr="009B3B7E">
        <w:rPr>
          <w:rStyle w:val="CommentReference"/>
        </w:rPr>
        <w:commentReference w:id="16"/>
      </w:r>
      <w:r w:rsidRPr="009B3B7E">
        <w:rPr>
          <w:rFonts w:ascii="Calibri" w:hAnsi="Calibri"/>
          <w:i/>
        </w:rPr>
        <w:t xml:space="preserve"> </w:t>
      </w:r>
      <w:r w:rsidRPr="009B3B7E">
        <w:rPr>
          <w:rFonts w:ascii="Calibri" w:hAnsi="Calibri"/>
        </w:rPr>
        <w:t>et leur degré de variation éventuel entre des zones éco-géographiques du pays ;</w:t>
      </w:r>
    </w:p>
    <w:p w14:paraId="170F6A50" w14:textId="77777777" w:rsidR="006E6130" w:rsidRPr="009B3B7E" w:rsidRDefault="00B344C5" w:rsidP="00A94470">
      <w:pPr>
        <w:numPr>
          <w:ilvl w:val="0"/>
          <w:numId w:val="6"/>
        </w:numPr>
        <w:rPr>
          <w:rFonts w:ascii="Calibri" w:hAnsi="Calibri" w:cs="Arial"/>
        </w:rPr>
      </w:pPr>
      <w:r w:rsidRPr="009B3B7E">
        <w:rPr>
          <w:rFonts w:ascii="Calibri" w:hAnsi="Calibri"/>
        </w:rPr>
        <w:t>(</w:t>
      </w:r>
      <w:commentRangeStart w:id="17"/>
      <w:proofErr w:type="gramStart"/>
      <w:r w:rsidRPr="009B3B7E">
        <w:rPr>
          <w:rFonts w:ascii="Calibri" w:hAnsi="Calibri"/>
          <w:i/>
        </w:rPr>
        <w:t>facultatif</w:t>
      </w:r>
      <w:proofErr w:type="gramEnd"/>
      <w:r w:rsidRPr="009B3B7E">
        <w:rPr>
          <w:rFonts w:ascii="Calibri" w:hAnsi="Calibri"/>
          <w:i/>
        </w:rPr>
        <w:t xml:space="preserve"> … supprimer si ne s’applique pas</w:t>
      </w:r>
      <w:commentRangeEnd w:id="17"/>
      <w:r w:rsidRPr="009B3B7E">
        <w:rPr>
          <w:rStyle w:val="CommentReference"/>
        </w:rPr>
        <w:commentReference w:id="17"/>
      </w:r>
      <w:r w:rsidRPr="009B3B7E">
        <w:rPr>
          <w:rFonts w:ascii="Calibri" w:hAnsi="Calibri"/>
          <w:i/>
        </w:rPr>
        <w:t xml:space="preserve">) </w:t>
      </w:r>
      <w:r w:rsidRPr="009B3B7E">
        <w:rPr>
          <w:rFonts w:ascii="Calibri" w:hAnsi="Calibri"/>
        </w:rPr>
        <w:t>contribuer à la base de données internationale concernant la durabilité physique moustiquaires et de l’insecticide, en les comparant notamment aux résultats des tests pratiqués sur les textiles à la sortie de l’usine.</w:t>
      </w:r>
    </w:p>
    <w:p w14:paraId="69ABBB80" w14:textId="6C9B260B" w:rsidR="00A94470" w:rsidRPr="009B3B7E" w:rsidRDefault="00A94470" w:rsidP="00A94470">
      <w:pPr>
        <w:pStyle w:val="Heading1"/>
      </w:pPr>
      <w:bookmarkStart w:id="18" w:name="_Toc305338806"/>
      <w:bookmarkStart w:id="19" w:name="_Toc465080730"/>
      <w:r w:rsidRPr="009B3B7E">
        <w:t>Méthodologies</w:t>
      </w:r>
      <w:bookmarkEnd w:id="18"/>
      <w:bookmarkEnd w:id="19"/>
    </w:p>
    <w:p w14:paraId="7C450379" w14:textId="77777777" w:rsidR="00A94470" w:rsidRPr="009B3B7E" w:rsidRDefault="00A94470" w:rsidP="00A94470">
      <w:pPr>
        <w:rPr>
          <w:rFonts w:ascii="Calibri" w:hAnsi="Calibri" w:cs="Arial"/>
        </w:rPr>
      </w:pPr>
      <w:r w:rsidRPr="009B3B7E">
        <w:tab/>
      </w:r>
    </w:p>
    <w:p w14:paraId="7EA34153" w14:textId="77777777" w:rsidR="00A94470" w:rsidRPr="009B3B7E" w:rsidRDefault="00A94470" w:rsidP="00A94470">
      <w:pPr>
        <w:pStyle w:val="Heading2"/>
      </w:pPr>
      <w:bookmarkStart w:id="20" w:name="_Toc305338807"/>
      <w:bookmarkStart w:id="21" w:name="_Toc465080731"/>
      <w:r w:rsidRPr="009B3B7E">
        <w:t>Les sites de l’étude</w:t>
      </w:r>
      <w:bookmarkEnd w:id="20"/>
      <w:bookmarkEnd w:id="21"/>
    </w:p>
    <w:p w14:paraId="580DFD78" w14:textId="77777777" w:rsidR="00A94470" w:rsidRPr="009B3B7E" w:rsidRDefault="00A94470" w:rsidP="00A94470">
      <w:pPr>
        <w:rPr>
          <w:rFonts w:ascii="Calibri" w:hAnsi="Calibri" w:cs="Arial"/>
        </w:rPr>
      </w:pPr>
    </w:p>
    <w:p w14:paraId="0E9008E6" w14:textId="77777777" w:rsidR="006E6130" w:rsidRPr="009B3B7E" w:rsidRDefault="00A94470" w:rsidP="00A94470">
      <w:pPr>
        <w:rPr>
          <w:rFonts w:ascii="Calibri" w:hAnsi="Calibri" w:cs="Arial"/>
        </w:rPr>
      </w:pPr>
      <w:r w:rsidRPr="009B3B7E">
        <w:rPr>
          <w:rFonts w:ascii="Calibri" w:hAnsi="Calibri"/>
        </w:rPr>
        <w:t xml:space="preserve">L’étude portera sur au moins </w:t>
      </w:r>
      <w:commentRangeStart w:id="22"/>
      <w:r w:rsidRPr="009B3B7E">
        <w:rPr>
          <w:rFonts w:ascii="Calibri" w:hAnsi="Calibri"/>
        </w:rPr>
        <w:t xml:space="preserve">[insérer le nombre] </w:t>
      </w:r>
      <w:commentRangeEnd w:id="22"/>
      <w:r w:rsidRPr="009B3B7E">
        <w:rPr>
          <w:rStyle w:val="CommentReference"/>
        </w:rPr>
        <w:commentReference w:id="22"/>
      </w:r>
      <w:r w:rsidRPr="009B3B7E">
        <w:rPr>
          <w:rFonts w:ascii="Calibri" w:hAnsi="Calibri"/>
        </w:rPr>
        <w:t xml:space="preserve">lieux présentant diverses épidémiologies du paludisme et différents profils socio-écologiques. Dans l’idéal, ces zones devront présenter un </w:t>
      </w:r>
      <w:r w:rsidRPr="009B3B7E">
        <w:rPr>
          <w:rFonts w:ascii="Calibri" w:hAnsi="Calibri"/>
        </w:rPr>
        <w:lastRenderedPageBreak/>
        <w:t>potentiel de transmission du paludisme élevé, modéré et faible, et/ou des caractéristiques climatiques ou socio-démographiques significativement différentes.</w:t>
      </w:r>
    </w:p>
    <w:p w14:paraId="3820D09F" w14:textId="77777777" w:rsidR="006E6130" w:rsidRPr="009B3B7E" w:rsidRDefault="00A94470" w:rsidP="009B3B7E">
      <w:pPr>
        <w:spacing w:after="0"/>
        <w:rPr>
          <w:rFonts w:ascii="Calibri" w:hAnsi="Calibri" w:cs="Arial"/>
        </w:rPr>
      </w:pPr>
      <w:r w:rsidRPr="009B3B7E">
        <w:rPr>
          <w:rFonts w:ascii="Calibri" w:hAnsi="Calibri"/>
        </w:rPr>
        <w:t>Dans chaque lieu, les sites précis seront choisis dans toutes/tous les (</w:t>
      </w:r>
      <w:commentRangeStart w:id="23"/>
      <w:r w:rsidRPr="009B3B7E">
        <w:rPr>
          <w:rFonts w:ascii="Calibri" w:hAnsi="Calibri"/>
          <w:i/>
        </w:rPr>
        <w:t>ajouter l’unité administrative équivalente au district</w:t>
      </w:r>
      <w:commentRangeEnd w:id="23"/>
      <w:r w:rsidRPr="009B3B7E">
        <w:rPr>
          <w:rStyle w:val="CommentReference"/>
        </w:rPr>
        <w:commentReference w:id="23"/>
      </w:r>
      <w:r w:rsidRPr="009B3B7E">
        <w:rPr>
          <w:rFonts w:ascii="Calibri" w:hAnsi="Calibri"/>
          <w:i/>
        </w:rPr>
        <w:t>)</w:t>
      </w:r>
      <w:r w:rsidRPr="009B3B7E">
        <w:rPr>
          <w:rFonts w:ascii="Calibri" w:hAnsi="Calibri"/>
        </w:rPr>
        <w:t xml:space="preserve"> ayant mis en place des campagnes de distribution massive au cours des six mois précédant le début du suivi. Si plusieurs districts répondent aux critères, le choix sera fait au vu des objectifs, après avoir consulté le PNLP, l’administration locale (par exemple, la province), la PMI et l’équipe chargée de mettre en œuvre l’étude.</w:t>
      </w:r>
    </w:p>
    <w:p w14:paraId="01F79549" w14:textId="46B2101C" w:rsidR="00A94470" w:rsidRPr="009B3B7E" w:rsidRDefault="00A94470" w:rsidP="00A94470">
      <w:pPr>
        <w:rPr>
          <w:rFonts w:ascii="Calibri" w:hAnsi="Calibri" w:cs="Arial"/>
        </w:rPr>
      </w:pPr>
    </w:p>
    <w:p w14:paraId="1226C8F8" w14:textId="77777777" w:rsidR="00A94470" w:rsidRPr="009B3B7E" w:rsidRDefault="00A94470" w:rsidP="00A94470">
      <w:pPr>
        <w:pStyle w:val="Heading2"/>
      </w:pPr>
      <w:bookmarkStart w:id="24" w:name="_Toc305338808"/>
      <w:bookmarkStart w:id="25" w:name="_Toc465080732"/>
      <w:r w:rsidRPr="009B3B7E">
        <w:t>Conception de l’étude</w:t>
      </w:r>
      <w:bookmarkEnd w:id="24"/>
      <w:bookmarkEnd w:id="25"/>
    </w:p>
    <w:p w14:paraId="74F89574" w14:textId="77777777" w:rsidR="00A94470" w:rsidRPr="009B3B7E" w:rsidRDefault="00A94470" w:rsidP="00A94470">
      <w:pPr>
        <w:rPr>
          <w:rFonts w:ascii="Calibri" w:hAnsi="Calibri" w:cs="Arial"/>
        </w:rPr>
      </w:pPr>
    </w:p>
    <w:p w14:paraId="215B9600" w14:textId="0F7A8F79" w:rsidR="000D61EE" w:rsidRDefault="00A94470" w:rsidP="00A94470">
      <w:pPr>
        <w:tabs>
          <w:tab w:val="left" w:pos="6900"/>
        </w:tabs>
        <w:rPr>
          <w:rFonts w:ascii="Calibri" w:hAnsi="Calibri"/>
        </w:rPr>
      </w:pPr>
      <w:r w:rsidRPr="009B3B7E">
        <w:rPr>
          <w:rFonts w:ascii="Calibri" w:hAnsi="Calibri"/>
        </w:rPr>
        <w:t>Cette étude est une étude prospective portant sur une cohorte de moustiquaires distribuées dans le cadre d’une campagne massive</w:t>
      </w:r>
      <w:r w:rsidR="00817A28">
        <w:rPr>
          <w:rFonts w:ascii="Calibri" w:hAnsi="Calibri"/>
        </w:rPr>
        <w:t xml:space="preserve"> (se référer à la figure)</w:t>
      </w:r>
      <w:r w:rsidRPr="009B3B7E">
        <w:rPr>
          <w:rFonts w:ascii="Calibri" w:hAnsi="Calibri"/>
        </w:rPr>
        <w:t xml:space="preserve">. </w:t>
      </w:r>
    </w:p>
    <w:p w14:paraId="3391E6CC" w14:textId="77777777" w:rsidR="00E72A7D" w:rsidRPr="00E72A7D" w:rsidRDefault="00E72A7D" w:rsidP="00E72A7D">
      <w:pPr>
        <w:tabs>
          <w:tab w:val="left" w:pos="6900"/>
        </w:tabs>
        <w:rPr>
          <w:rFonts w:ascii="Calibri" w:hAnsi="Calibri"/>
        </w:rPr>
      </w:pPr>
      <w:r w:rsidRPr="00E72A7D">
        <w:rPr>
          <w:rFonts w:ascii="Calibri" w:hAnsi="Calibri"/>
        </w:rPr>
        <w:t>Pré-distribution</w:t>
      </w:r>
    </w:p>
    <w:p w14:paraId="38B3726D" w14:textId="11B9C2A0" w:rsidR="000D61EE" w:rsidRDefault="00E72A7D" w:rsidP="00E72A7D">
      <w:pPr>
        <w:tabs>
          <w:tab w:val="left" w:pos="6900"/>
        </w:tabs>
        <w:rPr>
          <w:rFonts w:ascii="Calibri" w:hAnsi="Calibri"/>
        </w:rPr>
      </w:pPr>
      <w:r w:rsidRPr="00E72A7D">
        <w:rPr>
          <w:rFonts w:ascii="Calibri" w:hAnsi="Calibri"/>
        </w:rPr>
        <w:t xml:space="preserve">Une fois que les ITN ont atterri dans le pays et avant le début de la campagne de distribution massive d'ITN, 20 ITN par marque (ou par site si </w:t>
      </w:r>
      <w:r w:rsidR="007362D2">
        <w:rPr>
          <w:rFonts w:ascii="Calibri" w:hAnsi="Calibri"/>
        </w:rPr>
        <w:t>l</w:t>
      </w:r>
      <w:r w:rsidRPr="00E72A7D">
        <w:rPr>
          <w:rFonts w:ascii="Calibri" w:hAnsi="Calibri"/>
        </w:rPr>
        <w:t xml:space="preserve">es échantillons pour chaque site seront prélevés dans différents lieux de </w:t>
      </w:r>
      <w:r w:rsidR="007362D2" w:rsidRPr="00E72A7D">
        <w:rPr>
          <w:rFonts w:ascii="Calibri" w:hAnsi="Calibri"/>
        </w:rPr>
        <w:t>stockage)</w:t>
      </w:r>
      <w:r w:rsidRPr="00E72A7D">
        <w:rPr>
          <w:rFonts w:ascii="Calibri" w:hAnsi="Calibri"/>
        </w:rPr>
        <w:t xml:space="preserve"> seront prélevés dans les magasins centraux pour subir des tests biologiques et chimiques. Les 20 moustiquaires subiront des essais biologiques, </w:t>
      </w:r>
      <w:r w:rsidR="00DB2061">
        <w:rPr>
          <w:rFonts w:ascii="Calibri" w:hAnsi="Calibri"/>
        </w:rPr>
        <w:t>et</w:t>
      </w:r>
      <w:r w:rsidRPr="00E72A7D">
        <w:rPr>
          <w:rFonts w:ascii="Calibri" w:hAnsi="Calibri"/>
        </w:rPr>
        <w:t xml:space="preserve"> des essais chimiques seront effectués sur une sélection aléatoire de 10 des 20 mêmes moustiquaires. Si les résultats sont conformes aux attentes de la marque, aucun autre test ne sera effectué. Cependant, si les résultats ne sont pas ceux attendus - par exemple, ils ne répondent pas aux spécifications du </w:t>
      </w:r>
      <w:r w:rsidR="00432E23" w:rsidRPr="00E72A7D">
        <w:rPr>
          <w:rFonts w:ascii="Calibri" w:hAnsi="Calibri"/>
        </w:rPr>
        <w:t>fabricant,</w:t>
      </w:r>
      <w:r w:rsidRPr="00E72A7D">
        <w:rPr>
          <w:rFonts w:ascii="Calibri" w:hAnsi="Calibri"/>
        </w:rPr>
        <w:t xml:space="preserve"> une analyse chimique sera effectuée sur les 10 moustiquaires restantes.</w:t>
      </w:r>
    </w:p>
    <w:p w14:paraId="5AE51A35" w14:textId="77777777" w:rsidR="000D61EE" w:rsidRDefault="000D61EE" w:rsidP="00A94470">
      <w:pPr>
        <w:tabs>
          <w:tab w:val="left" w:pos="6900"/>
        </w:tabs>
        <w:rPr>
          <w:rFonts w:ascii="Calibri" w:hAnsi="Calibri"/>
        </w:rPr>
      </w:pPr>
    </w:p>
    <w:p w14:paraId="25E3B1A4" w14:textId="48FD52C5" w:rsidR="00E72A7D" w:rsidRDefault="00E72A7D" w:rsidP="00A94470">
      <w:pPr>
        <w:tabs>
          <w:tab w:val="left" w:pos="6900"/>
        </w:tabs>
        <w:rPr>
          <w:rFonts w:ascii="Calibri" w:hAnsi="Calibri"/>
        </w:rPr>
      </w:pPr>
      <w:r>
        <w:rPr>
          <w:rFonts w:ascii="Calibri" w:hAnsi="Calibri"/>
        </w:rPr>
        <w:t>Après-distribution</w:t>
      </w:r>
    </w:p>
    <w:p w14:paraId="7F8A7F4B" w14:textId="0C855A8B" w:rsidR="00A94470" w:rsidRPr="009B3B7E" w:rsidRDefault="00A94470" w:rsidP="00A94470">
      <w:pPr>
        <w:tabs>
          <w:tab w:val="left" w:pos="6900"/>
        </w:tabs>
        <w:rPr>
          <w:rFonts w:ascii="Calibri" w:hAnsi="Calibri" w:cs="Arial"/>
        </w:rPr>
      </w:pPr>
      <w:r w:rsidRPr="009B3B7E">
        <w:rPr>
          <w:rFonts w:ascii="Calibri" w:hAnsi="Calibri"/>
        </w:rPr>
        <w:t xml:space="preserve">Quelques mois après cette distribution (dans l’idéal, 1 à 3 mois, pas plus de 6), un échantillon représentatif de moustiquaires distribuées lors de cette campagne dans le lieu de l’étude sera identifié au moyen d’une enquête par grappes de ménages. La cohorte de l’étude sera constituée de l’ensemble des moustiquaires distribuées dans le cadre de la campagne et appartenant aux ménages qui accepteront de participer. Ces moustiquaires recevront alors une identification unique ; leur présence et leur état physique seront évalués au début de l’étude, puis lors de trois enquêtes annuelles, qui étudieront également les caractéristiques du ménage, ainsi que le type d’utilisation, d’entretien et de réparation. </w:t>
      </w:r>
      <w:r w:rsidR="00596F49" w:rsidRPr="00596F49">
        <w:rPr>
          <w:rFonts w:ascii="Calibri" w:hAnsi="Calibri"/>
        </w:rPr>
        <w:t xml:space="preserve">Au cours des évaluations de suivi à 12, 24 et 36 mois après la campagne (mais pas au départ), des sous-échantillons de 30 moustiquaires de campagne par site sont retirés et remplacés pour les tests d'efficacité des insecticides (essais biologiques et résidus chimiques). Les échantillons de moustiquaires avant la distribution seront soumis à des essais biologiques et à une évaluation du contenu chimique </w:t>
      </w:r>
      <w:r w:rsidR="00596F49" w:rsidRPr="00596F49">
        <w:rPr>
          <w:rFonts w:ascii="Calibri" w:hAnsi="Calibri"/>
        </w:rPr>
        <w:lastRenderedPageBreak/>
        <w:t xml:space="preserve">comme décrit ci-dessus pour former un contrôle de qualité post-achat (QAQC) de routine. Les résultats de ces tests constitueront le point de temps de pré-distribution auquel les résultats de l'étude annuelle seront comparés. </w:t>
      </w:r>
      <w:r w:rsidRPr="009B3B7E">
        <w:rPr>
          <w:rFonts w:ascii="Calibri" w:hAnsi="Calibri"/>
        </w:rPr>
        <w:t xml:space="preserve"> (</w:t>
      </w:r>
      <w:commentRangeStart w:id="26"/>
      <w:r w:rsidRPr="009B3B7E">
        <w:rPr>
          <w:rFonts w:ascii="Calibri" w:hAnsi="Calibri"/>
          <w:i/>
        </w:rPr>
        <w:t>Facultatif… supprimer la phrase suivante si elle ne s’applique pas</w:t>
      </w:r>
      <w:commentRangeEnd w:id="26"/>
      <w:r w:rsidRPr="009B3B7E">
        <w:rPr>
          <w:rStyle w:val="CommentReference"/>
        </w:rPr>
        <w:commentReference w:id="26"/>
      </w:r>
      <w:r w:rsidRPr="009B3B7E">
        <w:rPr>
          <w:rFonts w:ascii="Calibri" w:hAnsi="Calibri"/>
          <w:i/>
        </w:rPr>
        <w:t xml:space="preserve">) </w:t>
      </w:r>
      <w:r w:rsidRPr="009B3B7E">
        <w:rPr>
          <w:rFonts w:ascii="Calibri" w:hAnsi="Calibri"/>
        </w:rPr>
        <w:t>Par ailleurs, des échantillons seront prélevés à la fin de l’étude pour une analyse textile en laboratoire.</w:t>
      </w:r>
    </w:p>
    <w:p w14:paraId="7F425FB2" w14:textId="1FF1324E" w:rsidR="00A94470" w:rsidRPr="009B3B7E" w:rsidRDefault="00A94470" w:rsidP="00A94470">
      <w:pPr>
        <w:rPr>
          <w:rFonts w:ascii="Calibri" w:hAnsi="Calibri" w:cs="Calibri"/>
        </w:rPr>
      </w:pPr>
      <w:r w:rsidRPr="009B3B7E">
        <w:rPr>
          <w:rFonts w:ascii="Calibri" w:hAnsi="Calibri"/>
          <w:b/>
        </w:rPr>
        <w:t>Figure </w:t>
      </w:r>
      <w:r w:rsidRPr="009B3B7E">
        <w:rPr>
          <w:rFonts w:ascii="Calibri" w:hAnsi="Calibri" w:cs="Calibri"/>
          <w:b/>
        </w:rPr>
        <w:fldChar w:fldCharType="begin"/>
      </w:r>
      <w:r w:rsidRPr="009B3B7E">
        <w:rPr>
          <w:rFonts w:ascii="Calibri" w:hAnsi="Calibri" w:cs="Calibri"/>
          <w:b/>
        </w:rPr>
        <w:instrText xml:space="preserve"> SEQ Figure \* ARABIC </w:instrText>
      </w:r>
      <w:r w:rsidRPr="009B3B7E">
        <w:rPr>
          <w:rFonts w:ascii="Calibri" w:hAnsi="Calibri" w:cs="Calibri"/>
          <w:b/>
        </w:rPr>
        <w:fldChar w:fldCharType="separate"/>
      </w:r>
      <w:r w:rsidRPr="009B3B7E">
        <w:rPr>
          <w:rFonts w:ascii="Calibri" w:hAnsi="Calibri" w:cs="Calibri"/>
          <w:b/>
        </w:rPr>
        <w:t>2</w:t>
      </w:r>
      <w:r w:rsidRPr="009B3B7E">
        <w:rPr>
          <w:rFonts w:ascii="Calibri" w:hAnsi="Calibri" w:cs="Calibri"/>
          <w:b/>
        </w:rPr>
        <w:fldChar w:fldCharType="end"/>
      </w:r>
      <w:r w:rsidRPr="009B3B7E">
        <w:rPr>
          <w:rFonts w:ascii="Calibri" w:hAnsi="Calibri"/>
          <w:b/>
        </w:rPr>
        <w:t xml:space="preserve"> : </w:t>
      </w:r>
      <w:commentRangeStart w:id="27"/>
      <w:r w:rsidRPr="009B3B7E">
        <w:rPr>
          <w:rFonts w:ascii="Calibri" w:hAnsi="Calibri"/>
        </w:rPr>
        <w:t xml:space="preserve">présentation de l’étude </w:t>
      </w:r>
      <w:commentRangeEnd w:id="27"/>
      <w:r w:rsidRPr="009B3B7E">
        <w:rPr>
          <w:rStyle w:val="CommentReference"/>
        </w:rPr>
        <w:commentReference w:id="27"/>
      </w:r>
    </w:p>
    <w:p w14:paraId="44F3F3CB" w14:textId="46833835" w:rsidR="008A7FEE" w:rsidRPr="009B3B7E" w:rsidRDefault="00FB7AD3" w:rsidP="00A94470">
      <w:pPr>
        <w:rPr>
          <w:rFonts w:ascii="Calibri" w:hAnsi="Calibri" w:cs="Calibri"/>
        </w:rPr>
      </w:pPr>
      <w:r>
        <w:rPr>
          <w:noProof/>
        </w:rPr>
        <w:drawing>
          <wp:inline distT="0" distB="0" distL="0" distR="0" wp14:anchorId="260BA7CF" wp14:editId="5ECFD357">
            <wp:extent cx="5486400" cy="2090420"/>
            <wp:effectExtent l="0" t="0" r="0" b="508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6"/>
                    <a:stretch>
                      <a:fillRect/>
                    </a:stretch>
                  </pic:blipFill>
                  <pic:spPr>
                    <a:xfrm>
                      <a:off x="0" y="0"/>
                      <a:ext cx="5486400" cy="2090420"/>
                    </a:xfrm>
                    <a:prstGeom prst="rect">
                      <a:avLst/>
                    </a:prstGeom>
                  </pic:spPr>
                </pic:pic>
              </a:graphicData>
            </a:graphic>
          </wp:inline>
        </w:drawing>
      </w:r>
    </w:p>
    <w:p w14:paraId="305E2ED2" w14:textId="79D02945" w:rsidR="00A94470" w:rsidRPr="009B3B7E" w:rsidRDefault="00A94470" w:rsidP="00A94470">
      <w:pPr>
        <w:rPr>
          <w:rFonts w:ascii="Calibri" w:hAnsi="Calibri" w:cs="Calibri"/>
          <w:b/>
        </w:rPr>
      </w:pPr>
    </w:p>
    <w:p w14:paraId="2836EB35" w14:textId="77777777" w:rsidR="00A94470" w:rsidRPr="009B3B7E" w:rsidRDefault="00A94470" w:rsidP="00A94470">
      <w:pPr>
        <w:pStyle w:val="Heading2"/>
      </w:pPr>
      <w:bookmarkStart w:id="28" w:name="_Toc305338809"/>
      <w:bookmarkStart w:id="29" w:name="_Toc465080733"/>
      <w:r w:rsidRPr="009B3B7E">
        <w:t>Taille de l’échantillon</w:t>
      </w:r>
      <w:bookmarkEnd w:id="28"/>
      <w:bookmarkEnd w:id="29"/>
    </w:p>
    <w:p w14:paraId="5DEA1D94" w14:textId="77777777" w:rsidR="00A94470" w:rsidRPr="009B3B7E" w:rsidRDefault="00A94470" w:rsidP="00A94470">
      <w:pPr>
        <w:rPr>
          <w:rFonts w:ascii="Calibri" w:hAnsi="Calibri" w:cs="Arial"/>
        </w:rPr>
      </w:pPr>
      <w:r w:rsidRPr="009B3B7E">
        <w:rPr>
          <w:rFonts w:ascii="Calibri" w:hAnsi="Calibri"/>
        </w:rPr>
        <w:t>Les hypothèses suivantes sont utilisées pour le calcul de la taille et de la précision de l’échantillon au moyen de formules standard :</w:t>
      </w:r>
    </w:p>
    <w:p w14:paraId="797DA1FC" w14:textId="77777777" w:rsidR="00A94470" w:rsidRPr="009B3B7E" w:rsidRDefault="00A94470" w:rsidP="00477717">
      <w:pPr>
        <w:pStyle w:val="NoSpacing"/>
        <w:numPr>
          <w:ilvl w:val="0"/>
          <w:numId w:val="27"/>
        </w:numPr>
      </w:pPr>
      <w:r w:rsidRPr="009B3B7E">
        <w:t>Intervalle de confiance (erreur alpha) 95 %</w:t>
      </w:r>
    </w:p>
    <w:p w14:paraId="63BC3DFA" w14:textId="77777777" w:rsidR="00A94470" w:rsidRPr="009B3B7E" w:rsidRDefault="00A94470" w:rsidP="00477717">
      <w:pPr>
        <w:pStyle w:val="NoSpacing"/>
        <w:numPr>
          <w:ilvl w:val="0"/>
          <w:numId w:val="27"/>
        </w:numPr>
      </w:pPr>
      <w:r w:rsidRPr="009B3B7E">
        <w:t>Puissance (erreur bêta) 80 %</w:t>
      </w:r>
    </w:p>
    <w:p w14:paraId="47A27C5B" w14:textId="1B0853FE" w:rsidR="00A94470" w:rsidRPr="009B3B7E" w:rsidRDefault="00A94470" w:rsidP="00477717">
      <w:pPr>
        <w:pStyle w:val="NoSpacing"/>
        <w:numPr>
          <w:ilvl w:val="0"/>
          <w:numId w:val="27"/>
        </w:numPr>
      </w:pPr>
      <w:r w:rsidRPr="009B3B7E">
        <w:t>Effet du plan d’échantillonnage 2,50</w:t>
      </w:r>
    </w:p>
    <w:p w14:paraId="3F899569" w14:textId="77777777" w:rsidR="00A94470" w:rsidRPr="009B3B7E" w:rsidRDefault="00A94470" w:rsidP="00477717">
      <w:pPr>
        <w:pStyle w:val="NoSpacing"/>
        <w:numPr>
          <w:ilvl w:val="0"/>
          <w:numId w:val="27"/>
        </w:numPr>
      </w:pPr>
      <w:r w:rsidRPr="009B3B7E">
        <w:t>Ménages perdus lors du suivi 5 %</w:t>
      </w:r>
    </w:p>
    <w:p w14:paraId="1C35BBA2" w14:textId="77777777" w:rsidR="00A94470" w:rsidRPr="009B3B7E" w:rsidRDefault="002F77CA" w:rsidP="00477717">
      <w:pPr>
        <w:pStyle w:val="NoSpacing"/>
        <w:numPr>
          <w:ilvl w:val="0"/>
          <w:numId w:val="27"/>
        </w:numPr>
      </w:pPr>
      <w:r w:rsidRPr="009B3B7E">
        <w:t>(</w:t>
      </w:r>
      <w:commentRangeStart w:id="30"/>
      <w:r w:rsidRPr="009B3B7E">
        <w:rPr>
          <w:i/>
        </w:rPr>
        <w:t>Corriger en fonction de la stratégie d’allocation de la campagne et en fonction de la taille moyenne des ménages</w:t>
      </w:r>
      <w:commentRangeEnd w:id="30"/>
      <w:r w:rsidRPr="009B3B7E">
        <w:rPr>
          <w:rStyle w:val="CommentReference"/>
        </w:rPr>
        <w:commentReference w:id="30"/>
      </w:r>
      <w:r w:rsidRPr="009B3B7E">
        <w:rPr>
          <w:i/>
        </w:rPr>
        <w:t xml:space="preserve">) </w:t>
      </w:r>
      <w:proofErr w:type="spellStart"/>
      <w:proofErr w:type="gramStart"/>
      <w:r w:rsidRPr="009B3B7E">
        <w:t>x,x</w:t>
      </w:r>
      <w:proofErr w:type="spellEnd"/>
      <w:proofErr w:type="gramEnd"/>
      <w:r w:rsidRPr="009B3B7E">
        <w:t xml:space="preserve"> MILD par ménage distribuées lors de la campagne au début de l’étude (en partant du principe que la taille moyenne des ménages est de </w:t>
      </w:r>
      <w:proofErr w:type="spellStart"/>
      <w:r w:rsidRPr="009B3B7E">
        <w:t>y,y</w:t>
      </w:r>
      <w:proofErr w:type="spellEnd"/>
      <w:r w:rsidRPr="009B3B7E">
        <w:t>) et perte de 0,2 moustiquaire/ménage entre la campagne et le début de l’étude</w:t>
      </w:r>
    </w:p>
    <w:p w14:paraId="546BEB33" w14:textId="77777777" w:rsidR="00A94470" w:rsidRPr="009B3B7E" w:rsidRDefault="00A94470" w:rsidP="00477717">
      <w:pPr>
        <w:pStyle w:val="NoSpacing"/>
        <w:numPr>
          <w:ilvl w:val="0"/>
          <w:numId w:val="27"/>
        </w:numPr>
      </w:pPr>
      <w:r w:rsidRPr="009B3B7E">
        <w:t>Taux de perte total des moustiquaires distribuées dans le cadre de la campagne : 35 % sur trois ans, et taux de perte dû à l’usure : 20 %, soit un taux de perte dû à une cession à d’autres utilisateurs : 15 % sur trois ans</w:t>
      </w:r>
    </w:p>
    <w:p w14:paraId="4B2AE9F4" w14:textId="77777777" w:rsidR="00A94470" w:rsidRPr="009B3B7E" w:rsidRDefault="00A94470" w:rsidP="00477717">
      <w:pPr>
        <w:pStyle w:val="NoSpacing"/>
        <w:numPr>
          <w:ilvl w:val="0"/>
          <w:numId w:val="27"/>
        </w:numPr>
      </w:pPr>
      <w:r w:rsidRPr="009B3B7E">
        <w:t>Estimation de la survie médiane des moustiquaires à trois ans, c’est-à-dire une survie de 50 % après trois ans</w:t>
      </w:r>
    </w:p>
    <w:p w14:paraId="485E1B18" w14:textId="77777777" w:rsidR="00A94470" w:rsidRPr="009B3B7E" w:rsidRDefault="00A94470" w:rsidP="00A94470">
      <w:pPr>
        <w:ind w:left="1440"/>
        <w:rPr>
          <w:rFonts w:ascii="Calibri" w:hAnsi="Calibri" w:cs="Arial"/>
        </w:rPr>
      </w:pPr>
    </w:p>
    <w:p w14:paraId="5D423F4F" w14:textId="77777777" w:rsidR="00A94470" w:rsidRPr="009B3B7E" w:rsidRDefault="00A94470" w:rsidP="00A94470">
      <w:pPr>
        <w:pStyle w:val="Heading3"/>
      </w:pPr>
      <w:bookmarkStart w:id="31" w:name="_Toc305338810"/>
      <w:bookmarkStart w:id="32" w:name="_Toc465080734"/>
      <w:r w:rsidRPr="009B3B7E">
        <w:t>Durabilité physique</w:t>
      </w:r>
      <w:bookmarkEnd w:id="31"/>
      <w:bookmarkEnd w:id="32"/>
    </w:p>
    <w:p w14:paraId="5183A080" w14:textId="5DABCAE2" w:rsidR="00A94470" w:rsidRPr="009B3B7E" w:rsidRDefault="00A94470" w:rsidP="00A94470">
      <w:pPr>
        <w:rPr>
          <w:rFonts w:ascii="Calibri" w:hAnsi="Calibri" w:cs="Arial"/>
        </w:rPr>
      </w:pPr>
      <w:r w:rsidRPr="009B3B7E">
        <w:rPr>
          <w:rFonts w:ascii="Calibri" w:hAnsi="Calibri"/>
        </w:rPr>
        <w:t xml:space="preserve">À partir de calculs réalisés à l’aide de la commande </w:t>
      </w:r>
      <w:proofErr w:type="spellStart"/>
      <w:r w:rsidRPr="009B3B7E">
        <w:rPr>
          <w:rFonts w:ascii="Calibri" w:hAnsi="Calibri"/>
          <w:i/>
        </w:rPr>
        <w:t>sampsi</w:t>
      </w:r>
      <w:proofErr w:type="spellEnd"/>
      <w:r w:rsidRPr="009B3B7E">
        <w:rPr>
          <w:rFonts w:ascii="Calibri" w:hAnsi="Calibri"/>
        </w:rPr>
        <w:t xml:space="preserve"> dans Stata, et à partir des hypothèses ci-dessus, un échantillon de 15 grappes comprenant chacune 10 ménages est considéré comme suffisant pour chaque lieu de l’étude. </w:t>
      </w:r>
      <w:commentRangeStart w:id="33"/>
      <w:r w:rsidRPr="009B3B7E">
        <w:rPr>
          <w:rFonts w:ascii="Calibri" w:hAnsi="Calibri"/>
        </w:rPr>
        <w:t xml:space="preserve">La cohorte initiale regroupera donc 345 moustiquaires </w:t>
      </w:r>
      <w:r w:rsidRPr="009B3B7E">
        <w:rPr>
          <w:rFonts w:ascii="Calibri" w:hAnsi="Calibri"/>
        </w:rPr>
        <w:lastRenderedPageBreak/>
        <w:t>issues de la campagne massive, dans 150 ménages par lieu, ou 790 moustiquaires dans 300 ménages. Après trois ans, en tenant compte des ménages perdus lors du suivi et des taux de perte ci-dessus, 279 moustiquaires présenteront des données complètes pour l’évaluation dans chaque lieu (soit 557 moustiquaires au total). Cette taille d’échantillon et son effet supposé sur la conception de l’étude permettront de détecter des différences de 10-11 % entre les lieux, en retenant l’hypothèse d’une survie médiane de trois ans : par exemple, survie estimée à 39 % ou moins, ou 61 % ou plus, contre 50 %. Ces chiffres correspondent à une différence de survie médiane d’environ 0,5, qui peut être détectée comme étant statistiquement significative</w:t>
      </w:r>
      <w:commentRangeEnd w:id="33"/>
      <w:r w:rsidR="00E2350B">
        <w:rPr>
          <w:rStyle w:val="CommentReference"/>
        </w:rPr>
        <w:commentReference w:id="33"/>
      </w:r>
      <w:r w:rsidRPr="009B3B7E">
        <w:rPr>
          <w:rFonts w:ascii="Calibri" w:hAnsi="Calibri"/>
        </w:rPr>
        <w:t>.</w:t>
      </w:r>
    </w:p>
    <w:p w14:paraId="41B1306E" w14:textId="77777777" w:rsidR="00A94470" w:rsidRPr="009B3B7E" w:rsidRDefault="00A94470" w:rsidP="00A94470">
      <w:pPr>
        <w:pStyle w:val="Heading3"/>
      </w:pPr>
      <w:bookmarkStart w:id="34" w:name="_Toc305338811"/>
      <w:bookmarkStart w:id="35" w:name="_Toc465080735"/>
      <w:commentRangeStart w:id="36"/>
      <w:r w:rsidRPr="009B3B7E">
        <w:t>Durabilité de l’insecticide</w:t>
      </w:r>
      <w:bookmarkEnd w:id="34"/>
      <w:bookmarkEnd w:id="35"/>
      <w:commentRangeEnd w:id="36"/>
      <w:r w:rsidR="00D05047">
        <w:rPr>
          <w:rStyle w:val="CommentReference"/>
          <w:rFonts w:asciiTheme="minorHAnsi" w:eastAsiaTheme="minorEastAsia" w:hAnsiTheme="minorHAnsi" w:cstheme="minorBidi"/>
          <w:b w:val="0"/>
          <w:bCs w:val="0"/>
          <w:color w:val="auto"/>
        </w:rPr>
        <w:commentReference w:id="36"/>
      </w:r>
    </w:p>
    <w:p w14:paraId="459BD54F" w14:textId="4321D8F0" w:rsidR="00A94470" w:rsidRPr="009B3B7E" w:rsidRDefault="00A94470" w:rsidP="009B3B7E">
      <w:pPr>
        <w:tabs>
          <w:tab w:val="left" w:pos="6900"/>
        </w:tabs>
        <w:spacing w:after="0"/>
        <w:rPr>
          <w:rFonts w:ascii="Calibri" w:hAnsi="Calibri" w:cs="Arial"/>
        </w:rPr>
      </w:pPr>
      <w:r w:rsidRPr="009B3B7E">
        <w:rPr>
          <w:rFonts w:ascii="Calibri" w:hAnsi="Calibri"/>
        </w:rPr>
        <w:t xml:space="preserve">Conformément aux recommandations de l’OMS pour les tests de phase III sur les MILD [11], des échantillons de 30 moustiquaires issues de la campagne de distribution massive seront sélectionnés </w:t>
      </w:r>
      <w:commentRangeStart w:id="37"/>
      <w:r w:rsidRPr="009B3B7E">
        <w:rPr>
          <w:rFonts w:ascii="Calibri" w:hAnsi="Calibri"/>
        </w:rPr>
        <w:t xml:space="preserve">aléatoirement pour chaque site (60 au total) lors de chaque évaluation (à 12 et 24 mois </w:t>
      </w:r>
      <w:r w:rsidR="00C5128A">
        <w:rPr>
          <w:rFonts w:ascii="Calibri" w:hAnsi="Calibri"/>
        </w:rPr>
        <w:t xml:space="preserve">et 30 moustiquaires </w:t>
      </w:r>
      <w:r w:rsidRPr="009B3B7E">
        <w:rPr>
          <w:rFonts w:ascii="Calibri" w:hAnsi="Calibri"/>
        </w:rPr>
        <w:t>de la cohorte principale et à 36 mois dans la cohorte principale) afin d’analyser l’efficacité de l’insecticide (bio-essais</w:t>
      </w:r>
      <w:r w:rsidR="00C5128A">
        <w:rPr>
          <w:rFonts w:ascii="Calibri" w:hAnsi="Calibri"/>
        </w:rPr>
        <w:t xml:space="preserve"> et </w:t>
      </w:r>
      <w:r w:rsidR="009B01D9">
        <w:rPr>
          <w:rFonts w:ascii="Calibri" w:hAnsi="Calibri"/>
        </w:rPr>
        <w:t>résidu chimique</w:t>
      </w:r>
      <w:r w:rsidRPr="009B3B7E">
        <w:rPr>
          <w:rFonts w:ascii="Calibri" w:hAnsi="Calibri"/>
        </w:rPr>
        <w:t xml:space="preserve">). </w:t>
      </w:r>
      <w:commentRangeEnd w:id="37"/>
      <w:r w:rsidR="00056770">
        <w:rPr>
          <w:rStyle w:val="CommentReference"/>
        </w:rPr>
        <w:commentReference w:id="37"/>
      </w:r>
      <w:r w:rsidRPr="009B3B7E">
        <w:rPr>
          <w:rFonts w:ascii="Calibri" w:hAnsi="Calibri"/>
        </w:rPr>
        <w:t xml:space="preserve"> Si la proportion de moustiquaires présentant au moins une efficacité minimale de l’insecticide (voir Section 7) d’après ce test biologique est d’environ 80 % après trois ans, l’échantillon global selon les hypothèses ci-dessus fournira une précision de ±10,0 % dans le cadre d’une analyse unilatérale. Une précision similaire sera obtenue en ce qui concerne les résidus chimiques pour le critère « proportion de moustiquaire présentant au moins (</w:t>
      </w:r>
      <w:commentRangeStart w:id="38"/>
      <w:r w:rsidRPr="009B3B7E">
        <w:rPr>
          <w:rFonts w:ascii="Calibri" w:hAnsi="Calibri"/>
          <w:i/>
        </w:rPr>
        <w:t>ajouter le seuil de l’insecticide précis en mg/m</w:t>
      </w:r>
      <w:r w:rsidRPr="009B3B7E">
        <w:rPr>
          <w:rFonts w:ascii="Calibri" w:hAnsi="Calibri"/>
          <w:i/>
          <w:vertAlign w:val="superscript"/>
        </w:rPr>
        <w:t>2</w:t>
      </w:r>
      <w:r w:rsidRPr="009B3B7E">
        <w:rPr>
          <w:rFonts w:ascii="Calibri" w:hAnsi="Calibri"/>
          <w:i/>
        </w:rPr>
        <w:t xml:space="preserve"> ou g/kg) </w:t>
      </w:r>
      <w:r w:rsidRPr="009B3B7E">
        <w:rPr>
          <w:rFonts w:ascii="Calibri" w:hAnsi="Calibri"/>
        </w:rPr>
        <w:t>de (</w:t>
      </w:r>
      <w:r w:rsidRPr="009B3B7E">
        <w:rPr>
          <w:rFonts w:ascii="Calibri" w:hAnsi="Calibri"/>
          <w:i/>
        </w:rPr>
        <w:t>ajouter le nom de l’insecticide</w:t>
      </w:r>
      <w:commentRangeEnd w:id="38"/>
      <w:r w:rsidRPr="009B3B7E">
        <w:rPr>
          <w:rStyle w:val="CommentReference"/>
        </w:rPr>
        <w:commentReference w:id="38"/>
      </w:r>
      <w:r w:rsidRPr="009B3B7E">
        <w:rPr>
          <w:rFonts w:ascii="Calibri" w:hAnsi="Calibri"/>
          <w:i/>
        </w:rPr>
        <w:t>)</w:t>
      </w:r>
      <w:r w:rsidRPr="009B3B7E">
        <w:rPr>
          <w:rFonts w:ascii="Calibri" w:hAnsi="Calibri"/>
        </w:rPr>
        <w:t> ».</w:t>
      </w:r>
    </w:p>
    <w:p w14:paraId="336C1A94" w14:textId="52173F1C" w:rsidR="00A94470" w:rsidRPr="009B3B7E" w:rsidRDefault="00A94470" w:rsidP="00A94470">
      <w:pPr>
        <w:tabs>
          <w:tab w:val="left" w:pos="6900"/>
        </w:tabs>
        <w:rPr>
          <w:rFonts w:ascii="Calibri" w:hAnsi="Calibri" w:cs="Arial"/>
        </w:rPr>
      </w:pPr>
    </w:p>
    <w:p w14:paraId="55446B71" w14:textId="77777777" w:rsidR="00A94470" w:rsidRPr="009B3B7E" w:rsidRDefault="00A94470" w:rsidP="00A94470">
      <w:pPr>
        <w:pStyle w:val="Heading2"/>
      </w:pPr>
      <w:bookmarkStart w:id="39" w:name="_Toc305338812"/>
      <w:bookmarkStart w:id="40" w:name="_Toc465080736"/>
      <w:r w:rsidRPr="009B3B7E">
        <w:t>Procédures d’échantillonnage</w:t>
      </w:r>
      <w:bookmarkEnd w:id="39"/>
      <w:bookmarkEnd w:id="40"/>
    </w:p>
    <w:p w14:paraId="3CDAB96C" w14:textId="77777777" w:rsidR="00A94470" w:rsidRPr="009B3B7E" w:rsidRDefault="00A94470" w:rsidP="00A94470">
      <w:pPr>
        <w:rPr>
          <w:rFonts w:ascii="Calibri" w:hAnsi="Calibri" w:cs="Arial"/>
        </w:rPr>
      </w:pPr>
    </w:p>
    <w:p w14:paraId="2E08493D" w14:textId="77777777" w:rsidR="00A94470" w:rsidRPr="009B3B7E" w:rsidRDefault="00A94470" w:rsidP="00477717">
      <w:pPr>
        <w:pStyle w:val="Heading3"/>
      </w:pPr>
      <w:bookmarkStart w:id="41" w:name="_Toc305338813"/>
      <w:bookmarkStart w:id="42" w:name="_Toc465080737"/>
      <w:r w:rsidRPr="009B3B7E">
        <w:t>Étape 1 : sélection des grappes</w:t>
      </w:r>
      <w:bookmarkEnd w:id="41"/>
      <w:bookmarkEnd w:id="42"/>
    </w:p>
    <w:p w14:paraId="657DA2D9" w14:textId="77777777" w:rsidR="006E6130" w:rsidRPr="009B3B7E" w:rsidRDefault="00A94470" w:rsidP="00A94470">
      <w:pPr>
        <w:rPr>
          <w:rFonts w:ascii="Calibri" w:hAnsi="Calibri" w:cs="Arial"/>
        </w:rPr>
      </w:pPr>
      <w:r w:rsidRPr="009B3B7E">
        <w:rPr>
          <w:rFonts w:ascii="Calibri" w:hAnsi="Calibri"/>
        </w:rPr>
        <w:t>La sélection des grappes s’appuiera sur les listes de la campagne de distribution de MILD de chaque district, fournies par (</w:t>
      </w:r>
      <w:commentRangeStart w:id="43"/>
      <w:r w:rsidRPr="009B3B7E">
        <w:rPr>
          <w:rFonts w:ascii="Calibri" w:hAnsi="Calibri"/>
          <w:i/>
        </w:rPr>
        <w:t>ajouter le niveau administratif sous-national</w:t>
      </w:r>
      <w:commentRangeEnd w:id="43"/>
      <w:r w:rsidRPr="009B3B7E">
        <w:rPr>
          <w:rStyle w:val="CommentReference"/>
        </w:rPr>
        <w:commentReference w:id="43"/>
      </w:r>
      <w:r w:rsidRPr="009B3B7E">
        <w:rPr>
          <w:rFonts w:ascii="Calibri" w:hAnsi="Calibri"/>
          <w:i/>
        </w:rPr>
        <w:t xml:space="preserve">) </w:t>
      </w:r>
      <w:r w:rsidRPr="009B3B7E">
        <w:rPr>
          <w:rFonts w:ascii="Calibri" w:hAnsi="Calibri"/>
        </w:rPr>
        <w:t>ou par le Programme national intégré de lutte contre le paludisme. La grappe prendra la forme d’une communauté et sera sélectionnée selon une probabilité proportionnelle à la taille, cette dernière correspondant au nombre de MILD distribuées dans chaque communauté.</w:t>
      </w:r>
    </w:p>
    <w:p w14:paraId="6E49F280" w14:textId="5DF0446B" w:rsidR="00A94470" w:rsidRPr="009B3B7E" w:rsidRDefault="00A94470" w:rsidP="00477717">
      <w:pPr>
        <w:pStyle w:val="Heading3"/>
      </w:pPr>
      <w:bookmarkStart w:id="44" w:name="_Toc305338814"/>
      <w:bookmarkStart w:id="45" w:name="_Toc465080738"/>
      <w:r w:rsidRPr="009B3B7E">
        <w:t>Étape 2 : sélection des ménages et des moustiquaires étudiées</w:t>
      </w:r>
      <w:bookmarkEnd w:id="44"/>
      <w:bookmarkEnd w:id="45"/>
    </w:p>
    <w:p w14:paraId="6FAB21E0" w14:textId="77777777" w:rsidR="006E6130" w:rsidRPr="009B3B7E" w:rsidRDefault="00A94470" w:rsidP="00A94470">
      <w:pPr>
        <w:rPr>
          <w:rFonts w:ascii="Calibri" w:hAnsi="Calibri" w:cs="Arial"/>
        </w:rPr>
      </w:pPr>
      <w:r w:rsidRPr="009B3B7E">
        <w:rPr>
          <w:rFonts w:ascii="Calibri" w:hAnsi="Calibri"/>
        </w:rPr>
        <w:t>Dans chaque communauté sélectionnée, 10 ménages seront choisis de la façon suivante : si la communauté est petite (moins de 200 ménages), l’équipe de terrain cartographiera tout le village (elle répertoriera tous les logements habités). Puis, à partir de cette liste de ménages éligibles, le chef de groupe choisira au hasard 10 ménages statistiquement identiques à l’aide de listes contenant des numéros aléatoires. Ces listes de numéros aléatoires fourniront 10 numéros au hasard, correspondant à chaque ensemble possible parmi les ménages répertoriés. En outre, 6 ménages suppléants seront ajoutés à l’échantillon, afin d’être utilisés si un ménage échantillonné déclare ne jamais avoir reçu de moustiquaire dans le cadre de la campagne.</w:t>
      </w:r>
    </w:p>
    <w:p w14:paraId="075660A3" w14:textId="77777777" w:rsidR="006E6130" w:rsidRPr="009B3B7E" w:rsidRDefault="00A94470" w:rsidP="00A94470">
      <w:pPr>
        <w:rPr>
          <w:rFonts w:ascii="Calibri" w:hAnsi="Calibri" w:cs="Arial"/>
        </w:rPr>
      </w:pPr>
      <w:r w:rsidRPr="009B3B7E">
        <w:rPr>
          <w:rFonts w:ascii="Calibri" w:hAnsi="Calibri"/>
        </w:rPr>
        <w:lastRenderedPageBreak/>
        <w:t>La définition d’un ménage sera identique à celle utilisée pendant la campagne de distribution des MILD, à savoir « les personnes qui prennent leurs repas ensemble ». Si la communauté est importante, c’est-à-dire si elle dépasse 200 ménages, une approche par sections de taille identique sera utilisée : avec l’aide des autorités locales, la communauté sera divisée en sections de taille sensiblement équivalente, soit 40 à 60 ménages. L’une de ces sections sera choisie au hasard par le chef de groupe à l’aide d’une liste de numéros aléatoires préparée à l’avance. Puis dans cette section, tous les ménages seront cartographiés et sélectionnés comme au paragraphe précédent. Le nombre de sections utilisé dans ces grappes sera documenté par le chef de groupe.</w:t>
      </w:r>
    </w:p>
    <w:p w14:paraId="30053187" w14:textId="133F8823" w:rsidR="00A94470" w:rsidRPr="009B3B7E" w:rsidRDefault="00A94470" w:rsidP="00A94470">
      <w:pPr>
        <w:rPr>
          <w:rFonts w:ascii="Calibri" w:hAnsi="Calibri" w:cs="Arial"/>
        </w:rPr>
      </w:pPr>
      <w:r w:rsidRPr="009B3B7E">
        <w:rPr>
          <w:rFonts w:ascii="Calibri" w:hAnsi="Calibri"/>
        </w:rPr>
        <w:t>Les ménages échantillonnés recevront la visite de l’équipe chargée de l’étude et seront intégrés dans la sélection initiale, qu’ils aient ou non participé à la campagne de distribution de MILD. Si un ménage n’a pas participé à la campagne, il sera exclu de l’étude et l’un des ménages suppléants recevra la visite de l’équipe. Si au contraire le ménage confirme avoir participé à la campagne de distribution, l’équipe lui donnera des renseignements concernant l’étude et obtiendra son accord verbal à l’aide du script de consentement dans la langue locale. Si un ménage ne donne pas son accord, il sera exclu de l’étude et l’équipe rendra visite à l’un des ménages suppléants, jusqu’à ce que le nombre total de 10 ménages soit atteint.</w:t>
      </w:r>
    </w:p>
    <w:p w14:paraId="5249C901" w14:textId="77777777" w:rsidR="00A94470" w:rsidRPr="009B3B7E" w:rsidRDefault="00A94470" w:rsidP="00A94470">
      <w:pPr>
        <w:rPr>
          <w:rFonts w:ascii="Calibri" w:hAnsi="Calibri" w:cs="Arial"/>
        </w:rPr>
      </w:pPr>
      <w:r w:rsidRPr="009B3B7E">
        <w:rPr>
          <w:rFonts w:ascii="Calibri" w:hAnsi="Calibri"/>
        </w:rPr>
        <w:t>Pour chaque ménage ayant donné son accord, les coordonnées GPS ainsi que le nom du chef de famille seront documentés dans la liste des ménages, qui permettra d’identifier chaque ménage lors des visites d’évaluation annuelles.</w:t>
      </w:r>
    </w:p>
    <w:p w14:paraId="73B117B5" w14:textId="2F881B86" w:rsidR="00A94470" w:rsidRPr="009B3B7E" w:rsidRDefault="00A94470" w:rsidP="00A94470">
      <w:pPr>
        <w:rPr>
          <w:rFonts w:ascii="Calibri" w:hAnsi="Calibri" w:cs="Arial"/>
        </w:rPr>
      </w:pPr>
      <w:r w:rsidRPr="009B3B7E">
        <w:rPr>
          <w:rFonts w:ascii="Calibri" w:hAnsi="Calibri"/>
        </w:rPr>
        <w:t>Chez chaque ménage, l’équipe de terrain identifiera toutes les moustiquaires issues de la campagne de distribution grâce à l’étiquette présente sur les moustiquaires et grâce à l’entretien avec les participants du ménage. Sur chaque moustiquaire issue de la campagne de distribution, une étiquette indiquera un numéro d’identification unique qui permettra de créer une liste des moustiquaires.</w:t>
      </w:r>
    </w:p>
    <w:p w14:paraId="6BE76D9E" w14:textId="77777777" w:rsidR="00A94470" w:rsidRPr="009B3B7E" w:rsidRDefault="00A94470" w:rsidP="00477717">
      <w:pPr>
        <w:pStyle w:val="Heading3"/>
      </w:pPr>
      <w:bookmarkStart w:id="46" w:name="_Toc305338815"/>
      <w:bookmarkStart w:id="47" w:name="_Toc465080739"/>
      <w:r w:rsidRPr="009B3B7E">
        <w:t>Étape 3 : sélection des sous-échantillons de moustiquaires</w:t>
      </w:r>
      <w:bookmarkEnd w:id="46"/>
      <w:bookmarkEnd w:id="47"/>
    </w:p>
    <w:p w14:paraId="6057DB78" w14:textId="150E20E4" w:rsidR="00DA5655" w:rsidRPr="009B3B7E" w:rsidRDefault="00DA5655" w:rsidP="00DA5655">
      <w:pPr>
        <w:rPr>
          <w:rFonts w:ascii="Calibri" w:hAnsi="Calibri" w:cs="Arial"/>
        </w:rPr>
      </w:pPr>
      <w:r w:rsidRPr="009B3B7E">
        <w:rPr>
          <w:rFonts w:ascii="Calibri" w:hAnsi="Calibri"/>
        </w:rPr>
        <w:t>Pour l’évaluation de l’efficacité à</w:t>
      </w:r>
      <w:r w:rsidR="006E52D2">
        <w:rPr>
          <w:rFonts w:ascii="Calibri" w:hAnsi="Calibri"/>
        </w:rPr>
        <w:t xml:space="preserve">, </w:t>
      </w:r>
      <w:r w:rsidRPr="009B3B7E">
        <w:rPr>
          <w:rFonts w:ascii="Calibri" w:hAnsi="Calibri"/>
        </w:rPr>
        <w:t>12</w:t>
      </w:r>
      <w:r w:rsidR="006E52D2">
        <w:rPr>
          <w:rFonts w:ascii="Calibri" w:hAnsi="Calibri"/>
        </w:rPr>
        <w:t>,</w:t>
      </w:r>
      <w:r w:rsidRPr="009B3B7E">
        <w:rPr>
          <w:rFonts w:ascii="Calibri" w:hAnsi="Calibri"/>
        </w:rPr>
        <w:t xml:space="preserve"> et 24 mois (bio-essais</w:t>
      </w:r>
      <w:r w:rsidR="0015274A">
        <w:rPr>
          <w:rFonts w:ascii="Calibri" w:hAnsi="Calibri"/>
        </w:rPr>
        <w:t xml:space="preserve"> et résidu chimique</w:t>
      </w:r>
      <w:r w:rsidRPr="009B3B7E">
        <w:rPr>
          <w:rFonts w:ascii="Calibri" w:hAnsi="Calibri"/>
        </w:rPr>
        <w:t xml:space="preserve">), les moustiquaires seront sélectionnées au hasard parmi une cohorte extérieure à l’étude (car pour l’analyse, ces moustiquaires devront être découpées), selon la méthode suivante : Dans chaque grappe, pour prélever deux moustiquaires issues de la campagne de distribution, on sélectionnera au hasard l’un des 10 ménages échantillonnés, puis l’équipe rendra visite à son voisin de gauche afin de trouver une moustiquaire véritablement issue de la campagne de distribution (l’équipe vérifiera la source et l’ancienneté de la moustiquaire). Cette opération (se rendre chez le voisin de gauche) sera répétée jusqu’à l’obtention des deux moustiquaires. Pour l’échantillon à 36 mois, 30 moustiquaires seront sélectionnées parmi la liste des moustiquaires de la cohorte principale, selon une méthode d’échantillonnage aléatoire simple. Les ménages en question recevront une nouvelle MILD en remplacement de celle utilisée pour l’analyse. Les moustiquaires prélevées seront étiquetées et conditionnées dans des sacs plastique individuels pour le transport. Un questionnaire d’une page permettant de confirmer que la moustiquaire </w:t>
      </w:r>
      <w:r w:rsidRPr="009B3B7E">
        <w:rPr>
          <w:rFonts w:ascii="Calibri" w:hAnsi="Calibri"/>
        </w:rPr>
        <w:lastRenderedPageBreak/>
        <w:t>est issue de la campagne de distribution et de réunir des informations de base sur son utilisation ainsi que son lavage sera rempli puis emballé avec chaque moustiquaire.</w:t>
      </w:r>
      <w:r w:rsidR="00C802BC">
        <w:rPr>
          <w:rFonts w:ascii="Calibri" w:hAnsi="Calibri"/>
        </w:rPr>
        <w:t xml:space="preserve"> </w:t>
      </w:r>
      <w:r w:rsidR="00C802BC" w:rsidRPr="00C802BC">
        <w:rPr>
          <w:rFonts w:ascii="Calibri" w:hAnsi="Calibri"/>
        </w:rPr>
        <w:t>Pour l'évaluation de l'efficacité avant la distribution, les moustiquaires seront échantillonnées au hasard dans les magasins généraux ou centraux.</w:t>
      </w:r>
    </w:p>
    <w:p w14:paraId="258B7BF6" w14:textId="4B8EFBB8" w:rsidR="00DA5655" w:rsidRPr="009B3B7E" w:rsidRDefault="00A45D2E" w:rsidP="00A94470">
      <w:pPr>
        <w:rPr>
          <w:rFonts w:ascii="Calibri" w:hAnsi="Calibri" w:cs="Arial"/>
          <w:b/>
        </w:rPr>
      </w:pPr>
      <w:commentRangeStart w:id="48"/>
      <w:r w:rsidRPr="009B3B7E">
        <w:rPr>
          <w:rFonts w:ascii="Calibri" w:hAnsi="Calibri"/>
          <w:b/>
        </w:rPr>
        <w:t>[Autre option consistant à étiqueter dès le départ une cohorte de moustiquaires destinées aux bio-essais, en vue de l’échantillonnage du suivi à 12 et 24 mois :</w:t>
      </w:r>
    </w:p>
    <w:p w14:paraId="7DF112E4" w14:textId="475BA1AD" w:rsidR="00A45D2E" w:rsidRPr="009B3B7E" w:rsidRDefault="00483F96" w:rsidP="00A94470">
      <w:pPr>
        <w:rPr>
          <w:rFonts w:ascii="Calibri" w:hAnsi="Calibri" w:cs="Arial"/>
        </w:rPr>
      </w:pPr>
      <w:r w:rsidRPr="009B3B7E">
        <w:rPr>
          <w:rFonts w:ascii="Calibri" w:hAnsi="Calibri"/>
        </w:rPr>
        <w:t>On étiquette dès le départ une cohorte de six moustiquaires par grappe pour le suivi et le prélèvement dans le cadre des évaluations à 12 et 24 mois. En utilisant un groupe séparé d’étiquettes à deux caractères (A1-A6, B1-B6, etc.), on sélectionne au hasard les ménages en dehors de la cohorte de moustiquaires principale. Pour ce faire, deux méthodes peuvent être employées : 1) sélectionner au hasard l’un des 10 ménages échantillonnés et rendre visite à son voisin de gauche afin de trouver une moustiquaire issue de la campagne de distribution qui est accrochée et utilisée, puis répéter l’opération jusqu’à l’obtention de six moustiquaires provenant de ménages différents ou 2) sélectionner au hasard six ménages et deux ménages suppléants parmi les ménages non échantillonnés restants de la grappe et leur rendre visite afin de vérifier et d’étiqueter les moustiquaires issues de la campagne de distribution qui sont accrochées et utilisées. Une moustiquaire de chaque ménage est étiquetée pour le suivi à 12 ou 24 mois, les coordonnées GPS sont consignées et le questionnaire d’une page est rempli dès le départ. Lors des évaluations à 12 et 24 mois, deux moustiquaires par grappe sont sélectionnées pour les bio-essais à partir de la liste de ménages retenus pour les bio-essais à l’aide d’un échantillonnage aléatoire simple, en faisant appel aux ménages suppléants si besoin.]</w:t>
      </w:r>
      <w:commentRangeEnd w:id="48"/>
      <w:r w:rsidR="00321E94">
        <w:rPr>
          <w:rStyle w:val="CommentReference"/>
        </w:rPr>
        <w:commentReference w:id="48"/>
      </w:r>
    </w:p>
    <w:p w14:paraId="40EA900E" w14:textId="77777777" w:rsidR="00A94470" w:rsidRPr="009B3B7E" w:rsidRDefault="00A94470" w:rsidP="00A94470">
      <w:pPr>
        <w:pStyle w:val="Heading2"/>
      </w:pPr>
      <w:bookmarkStart w:id="49" w:name="_Toc305338816"/>
      <w:bookmarkStart w:id="50" w:name="_Toc465080740"/>
      <w:r w:rsidRPr="009B3B7E">
        <w:t>Procédures de terrain</w:t>
      </w:r>
      <w:bookmarkEnd w:id="49"/>
      <w:bookmarkEnd w:id="50"/>
    </w:p>
    <w:p w14:paraId="01A53E22" w14:textId="77777777" w:rsidR="00A94470" w:rsidRPr="009B3B7E" w:rsidRDefault="00A94470" w:rsidP="00A94470">
      <w:pPr>
        <w:rPr>
          <w:rFonts w:ascii="Calibri" w:hAnsi="Calibri" w:cs="Arial"/>
        </w:rPr>
      </w:pPr>
    </w:p>
    <w:p w14:paraId="3B4D580C" w14:textId="77777777" w:rsidR="00A94470" w:rsidRPr="009B3B7E" w:rsidRDefault="00A94470" w:rsidP="00A94470">
      <w:pPr>
        <w:pStyle w:val="Heading3"/>
      </w:pPr>
      <w:bookmarkStart w:id="51" w:name="_Toc305338817"/>
      <w:bookmarkStart w:id="52" w:name="_Toc465080741"/>
      <w:r w:rsidRPr="009B3B7E">
        <w:t>Phase préparatoire</w:t>
      </w:r>
      <w:bookmarkEnd w:id="51"/>
      <w:bookmarkEnd w:id="52"/>
    </w:p>
    <w:p w14:paraId="213798F5" w14:textId="77777777" w:rsidR="00A94470" w:rsidRPr="009B3B7E" w:rsidRDefault="00A94470" w:rsidP="00A94470">
      <w:pPr>
        <w:rPr>
          <w:rFonts w:ascii="Calibri" w:hAnsi="Calibri" w:cs="Arial"/>
        </w:rPr>
      </w:pPr>
    </w:p>
    <w:p w14:paraId="6CF3B0B7" w14:textId="77777777" w:rsidR="00A94470" w:rsidRPr="009B3B7E" w:rsidRDefault="00A94470" w:rsidP="00A94470">
      <w:pPr>
        <w:rPr>
          <w:rFonts w:ascii="Calibri" w:hAnsi="Calibri" w:cs="Arial"/>
        </w:rPr>
      </w:pPr>
      <w:r w:rsidRPr="009B3B7E">
        <w:rPr>
          <w:rFonts w:ascii="Calibri" w:hAnsi="Calibri"/>
        </w:rPr>
        <w:t>Pendant la phase préparatoire, les activités suivantes seront effectuées :</w:t>
      </w:r>
    </w:p>
    <w:p w14:paraId="5BCF41C8" w14:textId="77777777" w:rsidR="00A94470" w:rsidRPr="009B3B7E" w:rsidRDefault="00A94470" w:rsidP="00A94470">
      <w:pPr>
        <w:rPr>
          <w:rFonts w:ascii="Calibri" w:hAnsi="Calibri" w:cs="Arial"/>
        </w:rPr>
      </w:pPr>
      <w:r w:rsidRPr="009B3B7E">
        <w:rPr>
          <w:rFonts w:ascii="Calibri" w:hAnsi="Calibri"/>
        </w:rPr>
        <w:t xml:space="preserve">Une visite initiale par l’un des </w:t>
      </w:r>
      <w:proofErr w:type="spellStart"/>
      <w:r w:rsidRPr="009B3B7E">
        <w:rPr>
          <w:rFonts w:ascii="Calibri" w:hAnsi="Calibri"/>
        </w:rPr>
        <w:t>co</w:t>
      </w:r>
      <w:proofErr w:type="spellEnd"/>
      <w:r w:rsidRPr="009B3B7E">
        <w:rPr>
          <w:rFonts w:ascii="Calibri" w:hAnsi="Calibri"/>
        </w:rPr>
        <w:t>-investigateurs afin de mettre en place tous les partenariats locaux nécessaires (</w:t>
      </w:r>
      <w:commentRangeStart w:id="53"/>
      <w:r w:rsidRPr="009B3B7E">
        <w:rPr>
          <w:rFonts w:ascii="Calibri" w:hAnsi="Calibri"/>
          <w:i/>
        </w:rPr>
        <w:t>ajouter la liste des partenaires et des parties prenantes devant participer</w:t>
      </w:r>
      <w:commentRangeEnd w:id="53"/>
      <w:r w:rsidRPr="009B3B7E">
        <w:rPr>
          <w:rStyle w:val="CommentReference"/>
        </w:rPr>
        <w:commentReference w:id="53"/>
      </w:r>
      <w:r w:rsidRPr="009B3B7E">
        <w:rPr>
          <w:rFonts w:ascii="Calibri" w:hAnsi="Calibri"/>
        </w:rPr>
        <w:t>).</w:t>
      </w:r>
    </w:p>
    <w:p w14:paraId="391B85AD" w14:textId="77777777" w:rsidR="00A94470" w:rsidRPr="009B3B7E" w:rsidRDefault="00A94470" w:rsidP="00A94470">
      <w:pPr>
        <w:rPr>
          <w:rFonts w:ascii="Calibri" w:hAnsi="Calibri" w:cs="Arial"/>
        </w:rPr>
      </w:pPr>
      <w:r w:rsidRPr="009B3B7E">
        <w:rPr>
          <w:rFonts w:ascii="Calibri" w:hAnsi="Calibri"/>
        </w:rPr>
        <w:t>Pour assister l’équipe de terrain lors des entretiens, un guide détaillé sera préparé pour la formation des personnes qui effectueront les entretiens. Le questionnaire sera en (</w:t>
      </w:r>
      <w:commentRangeStart w:id="54"/>
      <w:r w:rsidRPr="009B3B7E">
        <w:rPr>
          <w:rFonts w:ascii="Calibri" w:hAnsi="Calibri"/>
          <w:i/>
        </w:rPr>
        <w:t>ajouter la langue à utiliser</w:t>
      </w:r>
      <w:commentRangeEnd w:id="54"/>
      <w:r w:rsidRPr="009B3B7E">
        <w:rPr>
          <w:rStyle w:val="CommentReference"/>
        </w:rPr>
        <w:commentReference w:id="54"/>
      </w:r>
      <w:r w:rsidRPr="009B3B7E">
        <w:rPr>
          <w:rFonts w:ascii="Calibri" w:hAnsi="Calibri"/>
        </w:rPr>
        <w:t>), mais pendant la formation des investigateurs, l’équipe adoptera d’un commun accord une traduction adaptée des questions dans les dialectes locaux. Le questionnaire se composera des sections suivantes :</w:t>
      </w:r>
    </w:p>
    <w:p w14:paraId="6FE40687"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caractéristiques</w:t>
      </w:r>
      <w:proofErr w:type="gramEnd"/>
      <w:r w:rsidRPr="009B3B7E">
        <w:rPr>
          <w:rFonts w:ascii="Calibri" w:hAnsi="Calibri"/>
        </w:rPr>
        <w:t xml:space="preserve"> du ménage (composition, actifs, facteurs potentiellement associés à un endommagement des moustiquaires, etc.) ;</w:t>
      </w:r>
    </w:p>
    <w:p w14:paraId="19DB4A3A"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lastRenderedPageBreak/>
        <w:t>moustiquaires</w:t>
      </w:r>
      <w:proofErr w:type="gramEnd"/>
      <w:r w:rsidRPr="009B3B7E">
        <w:rPr>
          <w:rFonts w:ascii="Calibri" w:hAnsi="Calibri"/>
        </w:rPr>
        <w:t xml:space="preserve"> reçues dans le cadre de la campagne de distribution ainsi que toute nouvelle moustiquaire obtenue auprès de n’importe quelle source depuis la campagne ;</w:t>
      </w:r>
    </w:p>
    <w:p w14:paraId="0CBB5D2E"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exposition</w:t>
      </w:r>
      <w:proofErr w:type="gramEnd"/>
      <w:r w:rsidRPr="009B3B7E">
        <w:rPr>
          <w:rFonts w:ascii="Calibri" w:hAnsi="Calibri"/>
        </w:rPr>
        <w:t xml:space="preserve"> à des messages prônant l’entretien et la réparation des moustiquaires ;</w:t>
      </w:r>
    </w:p>
    <w:p w14:paraId="0AF2537A"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comportement</w:t>
      </w:r>
      <w:proofErr w:type="gramEnd"/>
      <w:r w:rsidRPr="009B3B7E">
        <w:rPr>
          <w:rFonts w:ascii="Calibri" w:hAnsi="Calibri"/>
        </w:rPr>
        <w:t xml:space="preserve"> en ce qui concerne l’entretien et la réparation des moustiquaires, et perception de ces actions (aspects évalués à l’aide de questions issues de l’échelle de Likert) ;</w:t>
      </w:r>
    </w:p>
    <w:p w14:paraId="0D7937C8"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présence</w:t>
      </w:r>
      <w:proofErr w:type="gramEnd"/>
      <w:r w:rsidRPr="009B3B7E">
        <w:rPr>
          <w:rFonts w:ascii="Calibri" w:hAnsi="Calibri"/>
        </w:rPr>
        <w:t xml:space="preserve"> ou absence de moustiquaires issues de la campagne de distribution et raisons de la perte, le cas échéant ;</w:t>
      </w:r>
    </w:p>
    <w:p w14:paraId="7E5D9991"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évaluation</w:t>
      </w:r>
      <w:proofErr w:type="gramEnd"/>
      <w:r w:rsidRPr="009B3B7E">
        <w:rPr>
          <w:rFonts w:ascii="Calibri" w:hAnsi="Calibri"/>
        </w:rPr>
        <w:t xml:space="preserve"> des moustiquaires issues de la campagne de distribution, notamment le schéma d’utilisation (lieu, type de couchage, utilisateurs), les mécanismes d’endommagement dont les répondants se souviennent, les habitudes de lavage et séchage ainsi qu’une évaluation physique des trous et réparations sur chaque moustiquaire ;</w:t>
      </w:r>
    </w:p>
    <w:p w14:paraId="67D94C6E" w14:textId="77777777" w:rsidR="00A94470" w:rsidRPr="009B3B7E" w:rsidRDefault="00A94470" w:rsidP="00A94470">
      <w:pPr>
        <w:numPr>
          <w:ilvl w:val="0"/>
          <w:numId w:val="19"/>
        </w:numPr>
        <w:rPr>
          <w:rFonts w:ascii="Calibri" w:hAnsi="Calibri" w:cs="Arial"/>
        </w:rPr>
      </w:pPr>
      <w:proofErr w:type="gramStart"/>
      <w:r w:rsidRPr="009B3B7E">
        <w:rPr>
          <w:rFonts w:ascii="Calibri" w:hAnsi="Calibri"/>
        </w:rPr>
        <w:t>évaluation</w:t>
      </w:r>
      <w:proofErr w:type="gramEnd"/>
      <w:r w:rsidRPr="009B3B7E">
        <w:rPr>
          <w:rFonts w:ascii="Calibri" w:hAnsi="Calibri"/>
        </w:rPr>
        <w:t xml:space="preserve"> de toute autre moustiquaire appartenant au ménage (non issue de la campagne de distribution).</w:t>
      </w:r>
    </w:p>
    <w:p w14:paraId="16560270" w14:textId="7F0058E0" w:rsidR="00A94470" w:rsidRPr="009B3B7E" w:rsidRDefault="00A94470" w:rsidP="00A94470">
      <w:pPr>
        <w:rPr>
          <w:rFonts w:ascii="Calibri" w:hAnsi="Calibri" w:cs="Arial"/>
        </w:rPr>
      </w:pPr>
      <w:r w:rsidRPr="009B3B7E">
        <w:rPr>
          <w:rFonts w:ascii="Calibri" w:hAnsi="Calibri"/>
        </w:rPr>
        <w:t>Une fiche support sera préparée à l’avance afin d’identifier la marque de MILD. Il s’agira d’une fiche plastifiée contenant les photos de chaque marque de MILD distribuée dans le cadre de la campagne, ainsi que d’autres marques de moustiquaires courantes dans la région, avec une photo de l’étiquette et de la moustiquaire.</w:t>
      </w:r>
    </w:p>
    <w:p w14:paraId="7CA83A6E" w14:textId="77777777" w:rsidR="00A94470" w:rsidRPr="009B3B7E" w:rsidRDefault="00A94470" w:rsidP="00A94470">
      <w:pPr>
        <w:rPr>
          <w:rFonts w:ascii="Calibri" w:hAnsi="Calibri" w:cs="Arial"/>
        </w:rPr>
      </w:pPr>
      <w:r w:rsidRPr="009B3B7E">
        <w:rPr>
          <w:rFonts w:ascii="Calibri" w:hAnsi="Calibri"/>
        </w:rPr>
        <w:t>Des fiches support et feuilles de pointage seront également préparées à l’avance pour l’évaluation des trous.</w:t>
      </w:r>
    </w:p>
    <w:p w14:paraId="5CD6938F" w14:textId="24ED1B37" w:rsidR="00A94470" w:rsidRPr="009B3B7E" w:rsidRDefault="00A94470" w:rsidP="00A94470">
      <w:pPr>
        <w:rPr>
          <w:rFonts w:ascii="Calibri" w:hAnsi="Calibri" w:cs="Arial"/>
        </w:rPr>
      </w:pPr>
      <w:r w:rsidRPr="009B3B7E">
        <w:rPr>
          <w:rFonts w:ascii="Calibri" w:hAnsi="Calibri"/>
        </w:rPr>
        <w:t xml:space="preserve">Après une évaluation rigoureuse des conditions locales (réseau cellulaire, etc.) et des coûts impliqués, l’équipe décidera d’utiliser ou non une collecte de données au format papier ou électronique. Si le format électronique est choisi, l’équipe sélectionnera le type de dispositif (smartphone, tablette) le plus adapté pour recueillir les données sur le terrain, notamment les coordonnées GPS. L’équipe sélectionnera notamment le logiciel le plus adéquat pour programmer les questionnaires, puis transférer et stocker les données (bases de données finales). Une fois cette décision prise, une version bêta sera programmée et testée à plusieurs reprises afin qu’une version totalement fonctionnelle soit disponible quand le travail de terrain commencera. </w:t>
      </w:r>
      <w:commentRangeStart w:id="55"/>
      <w:r w:rsidRPr="009B3B7E">
        <w:rPr>
          <w:rFonts w:ascii="Calibri" w:hAnsi="Calibri"/>
        </w:rPr>
        <w:t>Ce travail de programmation sera confié à un consultant (local, régional ou international selon les compétences disponibles).</w:t>
      </w:r>
      <w:commentRangeEnd w:id="55"/>
      <w:r w:rsidRPr="009B3B7E">
        <w:rPr>
          <w:rStyle w:val="CommentReference"/>
        </w:rPr>
        <w:commentReference w:id="55"/>
      </w:r>
    </w:p>
    <w:p w14:paraId="246E1CF2" w14:textId="77777777" w:rsidR="006E6130" w:rsidRPr="009B3B7E" w:rsidRDefault="00A94470" w:rsidP="00A94470">
      <w:pPr>
        <w:rPr>
          <w:rFonts w:ascii="Calibri" w:hAnsi="Calibri" w:cs="Arial"/>
        </w:rPr>
      </w:pPr>
      <w:r w:rsidRPr="009B3B7E">
        <w:rPr>
          <w:rFonts w:ascii="Calibri" w:hAnsi="Calibri"/>
        </w:rPr>
        <w:t>En collaboration avec (</w:t>
      </w:r>
      <w:commentRangeStart w:id="56"/>
      <w:r w:rsidRPr="009B3B7E">
        <w:rPr>
          <w:rFonts w:ascii="Calibri" w:hAnsi="Calibri"/>
          <w:i/>
        </w:rPr>
        <w:t>ajouter les éventuels partenaires de mise en œuvre locaux</w:t>
      </w:r>
      <w:commentRangeEnd w:id="56"/>
      <w:r w:rsidRPr="009B3B7E">
        <w:rPr>
          <w:rStyle w:val="CommentReference"/>
        </w:rPr>
        <w:commentReference w:id="56"/>
      </w:r>
      <w:r w:rsidRPr="009B3B7E">
        <w:rPr>
          <w:rFonts w:ascii="Calibri" w:hAnsi="Calibri"/>
          <w:i/>
        </w:rPr>
        <w:t xml:space="preserve">), </w:t>
      </w:r>
      <w:r w:rsidRPr="009B3B7E">
        <w:rPr>
          <w:rFonts w:ascii="Calibri" w:hAnsi="Calibri"/>
        </w:rPr>
        <w:t>la description des différents postes sera élaborée et un groupe de candidats potentiels sera identifié afin de constituer les équipes de terrain.</w:t>
      </w:r>
    </w:p>
    <w:p w14:paraId="0865D5DA" w14:textId="17C6105A" w:rsidR="00A94470" w:rsidRPr="009B3B7E" w:rsidRDefault="00A94470" w:rsidP="00A94470">
      <w:pPr>
        <w:pStyle w:val="Heading3"/>
      </w:pPr>
      <w:bookmarkStart w:id="57" w:name="_Toc305338818"/>
      <w:bookmarkStart w:id="58" w:name="_Toc465080742"/>
      <w:r w:rsidRPr="009B3B7E">
        <w:lastRenderedPageBreak/>
        <w:t>Travail sur le terrain</w:t>
      </w:r>
      <w:bookmarkEnd w:id="57"/>
      <w:bookmarkEnd w:id="58"/>
    </w:p>
    <w:p w14:paraId="45C9CAE9" w14:textId="77777777" w:rsidR="00A94470" w:rsidRPr="009B3B7E" w:rsidRDefault="00A94470" w:rsidP="00A94470">
      <w:pPr>
        <w:rPr>
          <w:rFonts w:ascii="Calibri" w:hAnsi="Calibri" w:cs="Arial"/>
        </w:rPr>
      </w:pPr>
    </w:p>
    <w:p w14:paraId="697A27C1" w14:textId="77777777" w:rsidR="00A94470" w:rsidRPr="009B3B7E" w:rsidRDefault="00A94470" w:rsidP="00477717">
      <w:pPr>
        <w:pStyle w:val="Heading4"/>
      </w:pPr>
      <w:r w:rsidRPr="009B3B7E">
        <w:t>Équipes et formation</w:t>
      </w:r>
    </w:p>
    <w:p w14:paraId="0E541286" w14:textId="6860D792" w:rsidR="00A94470" w:rsidRPr="009B3B7E" w:rsidRDefault="00A94470" w:rsidP="00A94470">
      <w:pPr>
        <w:rPr>
          <w:rFonts w:ascii="Calibri" w:hAnsi="Calibri" w:cs="Arial"/>
        </w:rPr>
      </w:pPr>
      <w:commentRangeStart w:id="59"/>
      <w:r w:rsidRPr="009B3B7E">
        <w:rPr>
          <w:rFonts w:ascii="Calibri" w:hAnsi="Calibri"/>
        </w:rPr>
        <w:t xml:space="preserve">Chaque lieu aura sa propre équipe de mise en œuvre, </w:t>
      </w:r>
      <w:commentRangeEnd w:id="59"/>
      <w:r w:rsidRPr="009B3B7E">
        <w:rPr>
          <w:rStyle w:val="CommentReference"/>
        </w:rPr>
        <w:commentReference w:id="59"/>
      </w:r>
      <w:r w:rsidRPr="009B3B7E">
        <w:rPr>
          <w:rFonts w:ascii="Calibri" w:hAnsi="Calibri"/>
        </w:rPr>
        <w:t>composée d’un coordinateur de sites global et de deux équipes de terrain, elles-mêmes formées d’un chef de groupe et de trois investigateurs. La durée du travail pour les 15 grappes de chaque lieu est estimée à une journée par grappe. Par conséquent, pour chaque site, la durée du travail sur le terrain est estimée à 15 jours ouvrés. Chaque cycle d’évaluation peut donc être effectué en quatre semaines.</w:t>
      </w:r>
    </w:p>
    <w:p w14:paraId="4A575860" w14:textId="65E78D37" w:rsidR="00A94470" w:rsidRPr="009B3B7E" w:rsidRDefault="00A94470" w:rsidP="00A94470">
      <w:pPr>
        <w:rPr>
          <w:rFonts w:ascii="Calibri" w:hAnsi="Calibri" w:cs="Arial"/>
        </w:rPr>
      </w:pPr>
      <w:r w:rsidRPr="009B3B7E">
        <w:rPr>
          <w:rFonts w:ascii="Calibri" w:hAnsi="Calibri"/>
        </w:rPr>
        <w:t>Les investigateurs et les chefs de groupe seront soigneusement sélectionnés ; ils devront être adaptés d’un point de vue culturel, avoir une bonne connaissance des dialectes locaux et une expérience des enquêtes auprès des ménages. Juste avant chaque cycle de travail sur le terrain, les équipes suivront une formation de cinq jours, qui comprendra les éléments suivants :</w:t>
      </w:r>
    </w:p>
    <w:p w14:paraId="13E62F79" w14:textId="77777777" w:rsidR="00A94470" w:rsidRPr="009B3B7E" w:rsidRDefault="00A94470" w:rsidP="00A94470">
      <w:pPr>
        <w:pStyle w:val="ListParagraph"/>
        <w:numPr>
          <w:ilvl w:val="0"/>
          <w:numId w:val="22"/>
        </w:numPr>
        <w:rPr>
          <w:rFonts w:ascii="Calibri" w:hAnsi="Calibri" w:cs="Arial"/>
        </w:rPr>
      </w:pPr>
      <w:proofErr w:type="gramStart"/>
      <w:r w:rsidRPr="009B3B7E">
        <w:rPr>
          <w:rFonts w:ascii="Calibri" w:hAnsi="Calibri"/>
        </w:rPr>
        <w:t>explication</w:t>
      </w:r>
      <w:proofErr w:type="gramEnd"/>
      <w:r w:rsidRPr="009B3B7E">
        <w:rPr>
          <w:rFonts w:ascii="Calibri" w:hAnsi="Calibri"/>
        </w:rPr>
        <w:t xml:space="preserve"> de la conception de l’étude et des procédures d’échantillonnage ;</w:t>
      </w:r>
    </w:p>
    <w:p w14:paraId="00B7EB36" w14:textId="77777777" w:rsidR="00A94470" w:rsidRPr="009B3B7E" w:rsidRDefault="00A94470" w:rsidP="00A94470">
      <w:pPr>
        <w:pStyle w:val="ListParagraph"/>
        <w:numPr>
          <w:ilvl w:val="0"/>
          <w:numId w:val="22"/>
        </w:numPr>
        <w:rPr>
          <w:rFonts w:ascii="Calibri" w:hAnsi="Calibri" w:cs="Arial"/>
        </w:rPr>
      </w:pPr>
      <w:proofErr w:type="gramStart"/>
      <w:r w:rsidRPr="009B3B7E">
        <w:rPr>
          <w:rFonts w:ascii="Calibri" w:hAnsi="Calibri"/>
        </w:rPr>
        <w:t>approche</w:t>
      </w:r>
      <w:proofErr w:type="gramEnd"/>
      <w:r w:rsidRPr="009B3B7E">
        <w:rPr>
          <w:rFonts w:ascii="Calibri" w:hAnsi="Calibri"/>
        </w:rPr>
        <w:t xml:space="preserve"> générale de la déontologie dans le cadre du travail sur le terrain (consentement et entretien) ;</w:t>
      </w:r>
    </w:p>
    <w:p w14:paraId="2AC71736" w14:textId="77777777" w:rsidR="00A94470" w:rsidRPr="009B3B7E" w:rsidRDefault="00A94470" w:rsidP="00A94470">
      <w:pPr>
        <w:pStyle w:val="ListParagraph"/>
        <w:numPr>
          <w:ilvl w:val="0"/>
          <w:numId w:val="22"/>
        </w:numPr>
        <w:rPr>
          <w:rFonts w:ascii="Calibri" w:hAnsi="Calibri" w:cs="Arial"/>
        </w:rPr>
      </w:pPr>
      <w:proofErr w:type="gramStart"/>
      <w:r w:rsidRPr="009B3B7E">
        <w:rPr>
          <w:rFonts w:ascii="Calibri" w:hAnsi="Calibri"/>
        </w:rPr>
        <w:t>étude</w:t>
      </w:r>
      <w:proofErr w:type="gramEnd"/>
      <w:r w:rsidRPr="009B3B7E">
        <w:rPr>
          <w:rFonts w:ascii="Calibri" w:hAnsi="Calibri"/>
        </w:rPr>
        <w:t xml:space="preserve"> détaillée de l’entretien au moyen d’un jeu de rôle ;</w:t>
      </w:r>
    </w:p>
    <w:p w14:paraId="32D24CFC" w14:textId="77777777" w:rsidR="00A94470" w:rsidRPr="009B3B7E" w:rsidRDefault="00A94470" w:rsidP="00A94470">
      <w:pPr>
        <w:pStyle w:val="ListParagraph"/>
        <w:numPr>
          <w:ilvl w:val="0"/>
          <w:numId w:val="22"/>
        </w:numPr>
        <w:rPr>
          <w:rFonts w:ascii="Calibri" w:hAnsi="Calibri" w:cs="Arial"/>
        </w:rPr>
      </w:pPr>
      <w:proofErr w:type="gramStart"/>
      <w:r w:rsidRPr="009B3B7E">
        <w:rPr>
          <w:rFonts w:ascii="Calibri" w:hAnsi="Calibri"/>
        </w:rPr>
        <w:t>introduction</w:t>
      </w:r>
      <w:proofErr w:type="gramEnd"/>
      <w:r w:rsidRPr="009B3B7E">
        <w:rPr>
          <w:rFonts w:ascii="Calibri" w:hAnsi="Calibri"/>
        </w:rPr>
        <w:t xml:space="preserve"> à l’utilisation du dispositif de saisie des données et travaux pratiques ;</w:t>
      </w:r>
    </w:p>
    <w:p w14:paraId="48E020C6" w14:textId="77777777" w:rsidR="00A94470" w:rsidRPr="009B3B7E" w:rsidRDefault="00A94470" w:rsidP="00A94470">
      <w:pPr>
        <w:pStyle w:val="ListParagraph"/>
        <w:numPr>
          <w:ilvl w:val="0"/>
          <w:numId w:val="22"/>
        </w:numPr>
        <w:rPr>
          <w:rFonts w:ascii="Calibri" w:hAnsi="Calibri" w:cs="Arial"/>
        </w:rPr>
      </w:pPr>
      <w:proofErr w:type="gramStart"/>
      <w:r w:rsidRPr="009B3B7E">
        <w:rPr>
          <w:rFonts w:ascii="Calibri" w:hAnsi="Calibri"/>
        </w:rPr>
        <w:t>évaluation</w:t>
      </w:r>
      <w:proofErr w:type="gramEnd"/>
      <w:r w:rsidRPr="009B3B7E">
        <w:rPr>
          <w:rFonts w:ascii="Calibri" w:hAnsi="Calibri"/>
        </w:rPr>
        <w:t xml:space="preserve"> physique des trous et réparations dans les moustiquaires, avec exercices pratiques.</w:t>
      </w:r>
    </w:p>
    <w:p w14:paraId="5956171E" w14:textId="22B85903" w:rsidR="00A94470" w:rsidRPr="009B3B7E" w:rsidRDefault="00A94470" w:rsidP="00A94470">
      <w:pPr>
        <w:rPr>
          <w:rFonts w:ascii="Calibri" w:hAnsi="Calibri" w:cs="Arial"/>
        </w:rPr>
      </w:pPr>
      <w:r w:rsidRPr="009B3B7E">
        <w:rPr>
          <w:rFonts w:ascii="Calibri" w:hAnsi="Calibri"/>
        </w:rPr>
        <w:t>La première formation sera donnée par une équipe d’experts locaux, régionaux et internationaux, spécialistes des tests de durabilité sur le terrain. Elle s’adressera à tous les coordinateurs de provinces, ainsi qu’aux consultants en technologie. Dans les autres lieux, cette formation sera assurée par une équipe plus restreinte, afin de pouvoir être organisée simultanément.</w:t>
      </w:r>
    </w:p>
    <w:p w14:paraId="648E57FD" w14:textId="53821229" w:rsidR="00A94470" w:rsidRPr="009B3B7E" w:rsidRDefault="00A94470" w:rsidP="00A94470">
      <w:pPr>
        <w:rPr>
          <w:rFonts w:ascii="Calibri" w:hAnsi="Calibri" w:cs="Arial"/>
        </w:rPr>
      </w:pPr>
      <w:r w:rsidRPr="009B3B7E">
        <w:rPr>
          <w:rFonts w:ascii="Calibri" w:hAnsi="Calibri"/>
        </w:rPr>
        <w:t>Cette formation sera répétée avant chaque cycle annuel de recueil des données.</w:t>
      </w:r>
    </w:p>
    <w:p w14:paraId="43D26BDD" w14:textId="77777777" w:rsidR="00A94470" w:rsidRPr="009B3B7E" w:rsidRDefault="00A94470" w:rsidP="00477717">
      <w:pPr>
        <w:pStyle w:val="Heading4"/>
      </w:pPr>
      <w:r w:rsidRPr="009B3B7E">
        <w:t>Logistique et administration</w:t>
      </w:r>
    </w:p>
    <w:p w14:paraId="7A80C6C9" w14:textId="77777777" w:rsidR="00A94470" w:rsidRPr="009B3B7E" w:rsidRDefault="00A94470" w:rsidP="00A94470">
      <w:pPr>
        <w:rPr>
          <w:rFonts w:ascii="Calibri" w:hAnsi="Calibri" w:cs="Arial"/>
        </w:rPr>
      </w:pPr>
      <w:r w:rsidRPr="009B3B7E">
        <w:rPr>
          <w:rFonts w:ascii="Calibri" w:hAnsi="Calibri"/>
        </w:rPr>
        <w:t>Les équipes de terrain seront secondées par une équipe d’assistance administrative et un logisticien chargé de veiller à ce que tous les transports soient organisés.</w:t>
      </w:r>
    </w:p>
    <w:p w14:paraId="3957147E" w14:textId="77777777" w:rsidR="00A94470" w:rsidRPr="009B3B7E" w:rsidRDefault="00A94470" w:rsidP="00477717">
      <w:pPr>
        <w:pStyle w:val="Heading4"/>
      </w:pPr>
      <w:r w:rsidRPr="009B3B7E">
        <w:t>Sensibilisation</w:t>
      </w:r>
    </w:p>
    <w:p w14:paraId="5CB9E8D5" w14:textId="77777777" w:rsidR="00A94470" w:rsidRPr="009B3B7E" w:rsidRDefault="00A94470" w:rsidP="00A94470">
      <w:pPr>
        <w:rPr>
          <w:rFonts w:ascii="Calibri" w:hAnsi="Calibri" w:cs="Arial"/>
        </w:rPr>
      </w:pPr>
      <w:r w:rsidRPr="009B3B7E">
        <w:rPr>
          <w:rFonts w:ascii="Calibri" w:hAnsi="Calibri"/>
        </w:rPr>
        <w:t>Dès que les grappes auront été sélectionnées, les autorités locales et les chefs seront informés des objectifs et du calendrier de l’enquête ; leur soutien sera sollicité. Les communautés seront alors sensibilisées et mobilisées afin d’obtenir un maximum de coopération pendant les enquêtes.</w:t>
      </w:r>
    </w:p>
    <w:p w14:paraId="63262305" w14:textId="77777777" w:rsidR="00A94470" w:rsidRPr="009B3B7E" w:rsidRDefault="00A94470" w:rsidP="00477717">
      <w:pPr>
        <w:pStyle w:val="Heading4"/>
      </w:pPr>
      <w:r w:rsidRPr="009B3B7E">
        <w:t>Consentement des ménages et entretiens</w:t>
      </w:r>
    </w:p>
    <w:p w14:paraId="491A6962" w14:textId="77777777" w:rsidR="00A94470" w:rsidRPr="009B3B7E" w:rsidRDefault="00A94470" w:rsidP="00A94470">
      <w:pPr>
        <w:rPr>
          <w:rFonts w:ascii="Calibri" w:hAnsi="Calibri" w:cs="Arial"/>
        </w:rPr>
      </w:pPr>
      <w:r w:rsidRPr="009B3B7E">
        <w:rPr>
          <w:rFonts w:ascii="Calibri" w:hAnsi="Calibri"/>
        </w:rPr>
        <w:t xml:space="preserve">Après la sélection du ménage (voir ci-dessus), chaque famille choisie recevra la visite de l’équipe, et le chef de famille ou son/sa conjoint(e) sera interviewé(e) si le ménage répond aux </w:t>
      </w:r>
      <w:r w:rsidRPr="009B3B7E">
        <w:rPr>
          <w:rFonts w:ascii="Calibri" w:hAnsi="Calibri"/>
        </w:rPr>
        <w:lastRenderedPageBreak/>
        <w:t>critères de l’étude. S’il n’y a pas de répondant qualifié dans le ménage, une nouvelle visite sera prévue plus tard le même jour. Au moins trois tentatives devront être faites pour joindre un répondant, mais en cas d’échec, le ménage sera exclu de l’étude sans être remplacé. Avant l’entretien, le chef de famille ou le répondant sera informé de l’objectif de l’étude et cette information sera donnée dans la langue locale. Les répondants seront clairement informés que leur participation est volontaire et qu’ils peuvent y renoncer à tout moment. Une fois le consentement obtenu, l’entretien pourra commencer. Chaque ménage interviewé recevra un numéro unique d’identification correspondant au numéro de la grappe et du ménage. Les questionnaires seront préalablement codés avec ces numéros d’identification afin d’éviter les doublons. Le répondant principal sera le chef de famille ou son/sa conjoint(e).</w:t>
      </w:r>
    </w:p>
    <w:p w14:paraId="1549A407" w14:textId="77777777" w:rsidR="00A94470" w:rsidRPr="009B3B7E" w:rsidRDefault="00A94470" w:rsidP="00477717">
      <w:pPr>
        <w:pStyle w:val="Heading4"/>
      </w:pPr>
      <w:r w:rsidRPr="009B3B7E">
        <w:t>Identification des moustiquaires issues de la campagne de distribution et étiquetage des moustiquaires de l’étude</w:t>
      </w:r>
    </w:p>
    <w:p w14:paraId="452668B3" w14:textId="5B9DC58C" w:rsidR="00A94470" w:rsidRPr="009B3B7E" w:rsidRDefault="00A94470" w:rsidP="00A94470">
      <w:pPr>
        <w:rPr>
          <w:rFonts w:ascii="Calibri" w:hAnsi="Calibri" w:cs="Arial"/>
        </w:rPr>
      </w:pPr>
      <w:r w:rsidRPr="009B3B7E">
        <w:rPr>
          <w:rFonts w:ascii="Calibri" w:hAnsi="Calibri"/>
        </w:rPr>
        <w:t xml:space="preserve">Afin d’identifier les MILD issues de la dernière campagne de distribution, les personnes chargées de l’entretien devront contrôler chaque moustiquaire et comparer l’étiquette de la marque avec la fiche support préalablement préparée. Si l’étiquette correspond à la marque de moustiquaires distribuée pendant la campagne, les répondants devront fournir la source et la date d’obtention de la moustiquaire. Si ces informations confirment que la moustiquaire provient de la campagne de distribution, une étiquette contenant un numéro d’identification unique (préparé à l’avance) inscrit à l’encre résistant aux lavages sera solidement fixée à la moustiquaire en question. S’il est impossible de confirmer que les moustiquaires sont issues de la campagne de distribution, ces dernières seront documentées, mais pas incluses dans la cohorte de l’étude. </w:t>
      </w:r>
      <w:commentRangeStart w:id="60"/>
      <w:r w:rsidRPr="009B3B7E">
        <w:rPr>
          <w:rFonts w:ascii="Calibri" w:hAnsi="Calibri"/>
        </w:rPr>
        <w:t>Différents groupes d’étiquettes seront utilisés pour identifier les moustiquaires de l’étude et les moustiquaires destinées aux bio-essais.</w:t>
      </w:r>
      <w:commentRangeEnd w:id="60"/>
      <w:r w:rsidR="009E6EA2">
        <w:rPr>
          <w:rStyle w:val="CommentReference"/>
        </w:rPr>
        <w:commentReference w:id="60"/>
      </w:r>
    </w:p>
    <w:p w14:paraId="6D8B71CB" w14:textId="77777777" w:rsidR="00A94470" w:rsidRPr="009B3B7E" w:rsidRDefault="00A94470" w:rsidP="00477717">
      <w:pPr>
        <w:pStyle w:val="Heading4"/>
      </w:pPr>
      <w:r w:rsidRPr="009B3B7E">
        <w:t>Évaluation des trous dans les moustiquaires</w:t>
      </w:r>
    </w:p>
    <w:p w14:paraId="19995FA0" w14:textId="042AE632" w:rsidR="00A94470" w:rsidRPr="009B3B7E" w:rsidRDefault="00A94470" w:rsidP="00A94470">
      <w:pPr>
        <w:rPr>
          <w:rFonts w:ascii="Calibri" w:hAnsi="Calibri" w:cs="Arial"/>
        </w:rPr>
      </w:pPr>
      <w:r w:rsidRPr="009B3B7E">
        <w:rPr>
          <w:rFonts w:ascii="Calibri" w:hAnsi="Calibri"/>
        </w:rPr>
        <w:t>Chaque moustiquaire enregistrée dans le cadre de la campagne et appartenant encore au ménage au moment de l’enquête fera l’objet d’une évaluation physique afin de vérifier son état et les signes de réparation. Si possible, chaque moustiquaire sera sortie dans un lieu bien éclairé. Deux membres de l’équipe tiendront la moustiquaire à chaque coin, tandis que le troisième membre de l’équipe se chargera d’évaluer les trous. En inspectant un à un chaque côté ainsi que le sommet de la moustiquaire, il comptera les trous existants, qu’il classera en quatre catégories selon les tailles préconisées par l’OMS [1] : 0,5-2 cm, 2-10 cm, 10-25 cm, et plus de 25 cm de diamètre, à l’aide des calibres et des feuilles de pointage fournis. Le nombre de trous dans chaque catégorie sera résumé dans le questionnaire, en consignant séparément les côtés et le sommet. La présence et le nombre de trous réparés seront également documentés, mais ces derniers ne seront pas comptabilisés en tant que trous.</w:t>
      </w:r>
    </w:p>
    <w:p w14:paraId="5EF1131B" w14:textId="6DA3DFBD" w:rsidR="00A07380" w:rsidRPr="009B3B7E" w:rsidRDefault="00A07380" w:rsidP="00A07380">
      <w:pPr>
        <w:pStyle w:val="Heading4"/>
      </w:pPr>
      <w:r w:rsidRPr="009B3B7E">
        <w:t>Prélèvement et remplacement des moustiquaires destinées aux bio-essais</w:t>
      </w:r>
    </w:p>
    <w:p w14:paraId="6810F56A" w14:textId="2A68A0AB" w:rsidR="00A07380" w:rsidRPr="009B3B7E" w:rsidRDefault="00A07380" w:rsidP="00856597">
      <w:r w:rsidRPr="009B3B7E">
        <w:t>Pour les ménages dont la moustiquaire a été sélectionnée pour les bio-essais, les membres de l’équipe rempliront un questionnaire d’une page, décrocheront la moustiquaire et l’emballeront dans un sac plastique séparé avec le questionnaire d’une page rempli, pour transport jusqu’au laboratoire. Une moustiquaire de remplacement sera alors remise au ménage.</w:t>
      </w:r>
    </w:p>
    <w:p w14:paraId="2BF63FBD" w14:textId="77777777" w:rsidR="00A94470" w:rsidRPr="009B3B7E" w:rsidRDefault="00A94470" w:rsidP="00477717">
      <w:pPr>
        <w:pStyle w:val="Heading4"/>
      </w:pPr>
      <w:r w:rsidRPr="009B3B7E">
        <w:lastRenderedPageBreak/>
        <w:t>Recueil, gestion et protection des données</w:t>
      </w:r>
    </w:p>
    <w:p w14:paraId="0287277E" w14:textId="77777777" w:rsidR="006E6130" w:rsidRPr="009B3B7E" w:rsidRDefault="00A94470" w:rsidP="00A94470">
      <w:pPr>
        <w:rPr>
          <w:rFonts w:ascii="Calibri" w:hAnsi="Calibri" w:cs="Arial"/>
        </w:rPr>
      </w:pPr>
      <w:r w:rsidRPr="009B3B7E">
        <w:rPr>
          <w:rFonts w:ascii="Calibri" w:hAnsi="Calibri"/>
        </w:rPr>
        <w:t>Pour le recueil des données, les équipes utiliseront des dispositifs électroniques permettant de programmer en détail des enchaînements de questions et des commandes internes afin de veiller à ce que toutes les données nécessaires soient bien recueillies et cohérentes. En fonction des conditions locales, les données recueillies par chaque investigateur seront transférées vers la base de données en ligne chaque jour, ou enregistrées par le chef de groupe sur un dispositif de stockage local (ordinateur portable ou clé USB) jusqu’à ce que le transfert soit possible.</w:t>
      </w:r>
    </w:p>
    <w:p w14:paraId="6477F5B3" w14:textId="60B107DA" w:rsidR="00A94470" w:rsidRPr="009B3B7E" w:rsidRDefault="00A94470" w:rsidP="00A94470">
      <w:pPr>
        <w:rPr>
          <w:rFonts w:ascii="Calibri" w:hAnsi="Calibri" w:cs="Arial"/>
        </w:rPr>
      </w:pPr>
      <w:r w:rsidRPr="009B3B7E">
        <w:rPr>
          <w:rFonts w:ascii="Calibri" w:hAnsi="Calibri"/>
        </w:rPr>
        <w:t>À partir de ces données, quatre types de fichiers seront créés et mis à jour après chaque cycle d’évaluation :</w:t>
      </w:r>
    </w:p>
    <w:p w14:paraId="6919C791" w14:textId="77777777" w:rsidR="00A94470" w:rsidRPr="009B3B7E" w:rsidRDefault="00A94470" w:rsidP="00A94470">
      <w:pPr>
        <w:pStyle w:val="ListParagraph"/>
        <w:numPr>
          <w:ilvl w:val="0"/>
          <w:numId w:val="23"/>
        </w:numPr>
        <w:rPr>
          <w:rFonts w:ascii="Calibri" w:hAnsi="Calibri" w:cs="Arial"/>
        </w:rPr>
      </w:pPr>
      <w:proofErr w:type="gramStart"/>
      <w:r w:rsidRPr="009B3B7E">
        <w:rPr>
          <w:rFonts w:ascii="Calibri" w:hAnsi="Calibri"/>
        </w:rPr>
        <w:t>la</w:t>
      </w:r>
      <w:proofErr w:type="gramEnd"/>
      <w:r w:rsidRPr="009B3B7E">
        <w:rPr>
          <w:rFonts w:ascii="Calibri" w:hAnsi="Calibri"/>
        </w:rPr>
        <w:t xml:space="preserve"> liste des ménages ;</w:t>
      </w:r>
    </w:p>
    <w:p w14:paraId="1D09E2F7" w14:textId="77777777" w:rsidR="00A94470" w:rsidRPr="009B3B7E" w:rsidRDefault="00A94470" w:rsidP="00A94470">
      <w:pPr>
        <w:pStyle w:val="ListParagraph"/>
        <w:numPr>
          <w:ilvl w:val="0"/>
          <w:numId w:val="23"/>
        </w:numPr>
        <w:rPr>
          <w:rFonts w:ascii="Calibri" w:hAnsi="Calibri" w:cs="Arial"/>
        </w:rPr>
      </w:pPr>
      <w:proofErr w:type="gramStart"/>
      <w:r w:rsidRPr="009B3B7E">
        <w:rPr>
          <w:rFonts w:ascii="Calibri" w:hAnsi="Calibri"/>
        </w:rPr>
        <w:t>la</w:t>
      </w:r>
      <w:proofErr w:type="gramEnd"/>
      <w:r w:rsidRPr="009B3B7E">
        <w:rPr>
          <w:rFonts w:ascii="Calibri" w:hAnsi="Calibri"/>
        </w:rPr>
        <w:t xml:space="preserve"> liste des moustiquaires ;</w:t>
      </w:r>
    </w:p>
    <w:p w14:paraId="1F54D6AE" w14:textId="77777777" w:rsidR="00A94470" w:rsidRPr="009B3B7E" w:rsidRDefault="00A94470" w:rsidP="00A94470">
      <w:pPr>
        <w:pStyle w:val="ListParagraph"/>
        <w:numPr>
          <w:ilvl w:val="0"/>
          <w:numId w:val="23"/>
        </w:numPr>
        <w:rPr>
          <w:rFonts w:ascii="Calibri" w:hAnsi="Calibri" w:cs="Arial"/>
        </w:rPr>
      </w:pPr>
      <w:proofErr w:type="gramStart"/>
      <w:r w:rsidRPr="009B3B7E">
        <w:rPr>
          <w:rFonts w:ascii="Calibri" w:hAnsi="Calibri"/>
        </w:rPr>
        <w:t>les</w:t>
      </w:r>
      <w:proofErr w:type="gramEnd"/>
      <w:r w:rsidRPr="009B3B7E">
        <w:rPr>
          <w:rFonts w:ascii="Calibri" w:hAnsi="Calibri"/>
        </w:rPr>
        <w:t xml:space="preserve"> fichiers de données annuelles des ménages et des moustiquaires ;</w:t>
      </w:r>
    </w:p>
    <w:p w14:paraId="4EB07C40" w14:textId="03BBF3E5" w:rsidR="0016745C" w:rsidRPr="009B3B7E" w:rsidRDefault="0016745C" w:rsidP="00A94470">
      <w:pPr>
        <w:pStyle w:val="ListParagraph"/>
        <w:numPr>
          <w:ilvl w:val="0"/>
          <w:numId w:val="23"/>
        </w:numPr>
        <w:rPr>
          <w:rFonts w:ascii="Calibri" w:hAnsi="Calibri" w:cs="Arial"/>
        </w:rPr>
      </w:pPr>
      <w:commentRangeStart w:id="61"/>
      <w:proofErr w:type="gramStart"/>
      <w:r w:rsidRPr="009B3B7E">
        <w:rPr>
          <w:rFonts w:ascii="Calibri" w:hAnsi="Calibri"/>
        </w:rPr>
        <w:t>la</w:t>
      </w:r>
      <w:proofErr w:type="gramEnd"/>
      <w:r w:rsidRPr="009B3B7E">
        <w:rPr>
          <w:rFonts w:ascii="Calibri" w:hAnsi="Calibri"/>
        </w:rPr>
        <w:t xml:space="preserve"> liste des ménages retenus pour les bio-essais.</w:t>
      </w:r>
      <w:commentRangeEnd w:id="61"/>
      <w:r w:rsidR="00910BFB">
        <w:rPr>
          <w:rStyle w:val="CommentReference"/>
        </w:rPr>
        <w:commentReference w:id="61"/>
      </w:r>
    </w:p>
    <w:p w14:paraId="14BC867D" w14:textId="77777777" w:rsidR="00A94470" w:rsidRPr="009B3B7E" w:rsidRDefault="00A94470" w:rsidP="00A94470">
      <w:pPr>
        <w:rPr>
          <w:rFonts w:ascii="Calibri" w:hAnsi="Calibri" w:cs="Arial"/>
        </w:rPr>
      </w:pPr>
      <w:r w:rsidRPr="009B3B7E">
        <w:rPr>
          <w:rFonts w:ascii="Calibri" w:hAnsi="Calibri"/>
        </w:rPr>
        <w:t xml:space="preserve">La liste des ménages comprendra les coordonnées GPS et le nom du chef de famille, ces renseignements étant nécessaires pour retrouver le ménage lors des enquêtes annuelles. Entre les enquêtes, cette liste sera conservée précautionneusement sur un dispositif de stockage fixe et sécurisé (par exemple, sur un serveur) utilisant une protection suffisante (chiffrement et mot de passe) et accessible uniquement à l’IP et aux </w:t>
      </w:r>
      <w:proofErr w:type="spellStart"/>
      <w:r w:rsidRPr="009B3B7E">
        <w:rPr>
          <w:rFonts w:ascii="Calibri" w:hAnsi="Calibri"/>
        </w:rPr>
        <w:t>co</w:t>
      </w:r>
      <w:proofErr w:type="spellEnd"/>
      <w:r w:rsidRPr="009B3B7E">
        <w:rPr>
          <w:rFonts w:ascii="Calibri" w:hAnsi="Calibri"/>
        </w:rPr>
        <w:t>-investigateurs. Juste après la dernière collecte d’informations, ces renseignements (nom et coordonnées GPS) seront effacés.</w:t>
      </w:r>
    </w:p>
    <w:p w14:paraId="1F802282" w14:textId="77777777" w:rsidR="00A94470" w:rsidRPr="009B3B7E" w:rsidRDefault="00A94470" w:rsidP="00A94470">
      <w:pPr>
        <w:rPr>
          <w:rFonts w:ascii="Calibri" w:hAnsi="Calibri" w:cs="Arial"/>
        </w:rPr>
      </w:pPr>
      <w:r w:rsidRPr="009B3B7E">
        <w:rPr>
          <w:rFonts w:ascii="Calibri" w:hAnsi="Calibri"/>
        </w:rPr>
        <w:t>L’autre identifiant individuel sera le prénom des membres du ménage, nécessaire pour identifier les utilisateurs des moustiquaires dans le cadre des enquêtes auprès des ménages. Après le nettoyage des données, ces prénoms seront eux aussi effacés afin que les fichiers de données analytiques ne contiennent aucun renseignement permettant d’identifier les ménages et les individus.</w:t>
      </w:r>
    </w:p>
    <w:p w14:paraId="11B89871" w14:textId="77777777" w:rsidR="00A94470" w:rsidRPr="009B3B7E" w:rsidRDefault="00A94470" w:rsidP="00477717">
      <w:pPr>
        <w:pStyle w:val="Heading4"/>
      </w:pPr>
      <w:r w:rsidRPr="009B3B7E">
        <w:t>Supervision et assistance sur le terrain</w:t>
      </w:r>
    </w:p>
    <w:p w14:paraId="008540B9" w14:textId="77777777" w:rsidR="006E6130" w:rsidRPr="009B3B7E" w:rsidRDefault="00A94470" w:rsidP="00A94470">
      <w:pPr>
        <w:rPr>
          <w:rFonts w:ascii="Calibri" w:hAnsi="Calibri" w:cs="Arial"/>
        </w:rPr>
      </w:pPr>
      <w:r w:rsidRPr="009B3B7E">
        <w:rPr>
          <w:rFonts w:ascii="Calibri" w:hAnsi="Calibri"/>
        </w:rPr>
        <w:t xml:space="preserve">À la fin de chaque journée, le chef de groupe examinera toutes les données recueillies et verra avec l’équipe ses points forts et points faibles sur le terrain. Le coordinateur local recevra un compte rendu quotidien et en cas de problème, celui-ci sera relayé aux </w:t>
      </w:r>
      <w:proofErr w:type="spellStart"/>
      <w:r w:rsidRPr="009B3B7E">
        <w:rPr>
          <w:rFonts w:ascii="Calibri" w:hAnsi="Calibri"/>
        </w:rPr>
        <w:t>co</w:t>
      </w:r>
      <w:proofErr w:type="spellEnd"/>
      <w:r w:rsidRPr="009B3B7E">
        <w:rPr>
          <w:rFonts w:ascii="Calibri" w:hAnsi="Calibri"/>
        </w:rPr>
        <w:t>-investigateurs ou à l’investigateur principal afin d’en débattre et de trouver des solutions. Pour les problèmes techniques liés aux dispositifs de recueil des données, les consultants se tiendront prêts à fournir une assistance sur le terrain pendant toute la durée du travail de terrain.</w:t>
      </w:r>
    </w:p>
    <w:p w14:paraId="74B3A33D" w14:textId="1602B277" w:rsidR="00A94470" w:rsidRPr="009B3B7E" w:rsidRDefault="00A94470" w:rsidP="00A94470">
      <w:pPr>
        <w:pStyle w:val="Heading2"/>
      </w:pPr>
      <w:bookmarkStart w:id="62" w:name="_Toc305338819"/>
      <w:bookmarkStart w:id="63" w:name="_Toc465080743"/>
      <w:r w:rsidRPr="009B3B7E">
        <w:t>Analyses de laboratoire</w:t>
      </w:r>
      <w:bookmarkEnd w:id="62"/>
      <w:bookmarkEnd w:id="63"/>
    </w:p>
    <w:p w14:paraId="2A8A51C6" w14:textId="77777777" w:rsidR="00A94470" w:rsidRPr="009B3B7E" w:rsidRDefault="00A94470" w:rsidP="00A94470">
      <w:pPr>
        <w:pStyle w:val="Heading3"/>
      </w:pPr>
      <w:bookmarkStart w:id="64" w:name="_Toc305338820"/>
      <w:bookmarkStart w:id="65" w:name="_Toc465080744"/>
      <w:commentRangeStart w:id="66"/>
      <w:r w:rsidRPr="009B3B7E">
        <w:t>Bio-essais :</w:t>
      </w:r>
      <w:bookmarkEnd w:id="64"/>
      <w:bookmarkEnd w:id="65"/>
      <w:commentRangeEnd w:id="66"/>
      <w:r w:rsidR="00C821AC">
        <w:rPr>
          <w:rStyle w:val="CommentReference"/>
          <w:rFonts w:asciiTheme="minorHAnsi" w:eastAsiaTheme="minorEastAsia" w:hAnsiTheme="minorHAnsi" w:cstheme="minorBidi"/>
          <w:b w:val="0"/>
          <w:bCs w:val="0"/>
          <w:color w:val="auto"/>
        </w:rPr>
        <w:commentReference w:id="66"/>
      </w:r>
    </w:p>
    <w:p w14:paraId="176FE117" w14:textId="33B8039A" w:rsidR="00A94470" w:rsidRPr="009B3B7E" w:rsidRDefault="00A94470" w:rsidP="00A94470">
      <w:r w:rsidRPr="009B3B7E">
        <w:t>Sur chacune des moustiquaires échantillonnées pour évaluer l’efficacité de l’insecticide (voir la méthodologie d’échantillonnage à la section 2.4.3), l’équipe de l’étude découpera un morceau de 30 x 30 cm au centre de l’un des côtés longs. Ces échantillons recevront une étiquette portant le numéro d’identification de la moustiquaire et seront envoyés à l’</w:t>
      </w:r>
      <w:commentRangeStart w:id="67"/>
      <w:r w:rsidRPr="009B3B7E">
        <w:t xml:space="preserve">Institut national de </w:t>
      </w:r>
      <w:r w:rsidRPr="009B3B7E">
        <w:lastRenderedPageBreak/>
        <w:t>santé (INS)</w:t>
      </w:r>
      <w:commentRangeEnd w:id="67"/>
      <w:r w:rsidRPr="009B3B7E">
        <w:rPr>
          <w:rStyle w:val="CommentReference"/>
        </w:rPr>
        <w:commentReference w:id="67"/>
      </w:r>
      <w:r w:rsidRPr="009B3B7E">
        <w:t xml:space="preserve"> afin d’être analysés au moyen de bio-essais, conformément aux recommandations de l’OMS [11]. Le test principal sera le test en cône. Pour ces tests, des femelles d’élevage non nourries, âgées de 2 à 5 jours et appartenant à une souche sensible aux pyréthrinoïdes seront utilisées (dans l’idéal, la souche </w:t>
      </w:r>
      <w:proofErr w:type="spellStart"/>
      <w:r w:rsidRPr="009B3B7E">
        <w:rPr>
          <w:i/>
        </w:rPr>
        <w:t>Anopheles</w:t>
      </w:r>
      <w:proofErr w:type="spellEnd"/>
      <w:r w:rsidRPr="009B3B7E">
        <w:rPr>
          <w:i/>
        </w:rPr>
        <w:t xml:space="preserve"> </w:t>
      </w:r>
      <w:proofErr w:type="spellStart"/>
      <w:r w:rsidRPr="009B3B7E">
        <w:rPr>
          <w:i/>
        </w:rPr>
        <w:t>gambiae</w:t>
      </w:r>
      <w:proofErr w:type="spellEnd"/>
      <w:r w:rsidRPr="009B3B7E">
        <w:rPr>
          <w:i/>
        </w:rPr>
        <w:t xml:space="preserve"> </w:t>
      </w:r>
      <w:proofErr w:type="spellStart"/>
      <w:r w:rsidRPr="009B3B7E">
        <w:rPr>
          <w:i/>
        </w:rPr>
        <w:t>s.s.</w:t>
      </w:r>
      <w:proofErr w:type="spellEnd"/>
      <w:r w:rsidRPr="009B3B7E">
        <w:t xml:space="preserve"> Kisumu, mais d’autres espèces, comme Aedes, sont également possibles)</w:t>
      </w:r>
      <w:r w:rsidRPr="009B3B7E">
        <w:rPr>
          <w:u w:val="single"/>
        </w:rPr>
        <w:t>. Ne pas utiliser de moustique sauvage</w:t>
      </w:r>
      <w:r w:rsidRPr="009B3B7E">
        <w:t>. Cinq moustiques seront introduits simultanément dans des cônes de l’OMS et quatre cônes seront appliqués simultanément sur l’échantillon de moustiquaire, qui sera exposé pendant trois minutes à ces vecteurs. Après l’exposition, les femelles seront regroupées en lots de 10 ou 20 dans des coupes en plastique de 200 ml maintenues à 28 °C ± 2 °C et une humidité relative de 80 % ± 10 % avec solution au miel. Pour chaque échantillon, cette procédure sera répétée deux fois. Un total de 40 moustiques sera donc utilisé. Pour chaque série, un lot témoin ne sera pas exposé et les résultats seront valides uniquement si la mortalité de ce groupe témoin est inférieure à 5 %. Le nombre de moustiques inconscients (« knock-down », KD) sera enregistré à 30 et 60 minutes, ce qui permettra de calculer le taux de KD à 60 minutes (KD60). Le pourcentage de mortalité sera documenté à 24 heures selon la mortalité immédiate et différée définie dans les recommandations de l’OMS. Les échantillons produisant un KD60 inférieur à 95 % ou une mortalité inférieure à 80 % dans le cadre du test en cône seront soumis au test en tunnel [11].</w:t>
      </w:r>
    </w:p>
    <w:p w14:paraId="3A1ADFC3" w14:textId="44F45CB6" w:rsidR="00A94470" w:rsidRPr="009B3B7E" w:rsidRDefault="00CF4DCC" w:rsidP="00A94470">
      <w:pPr>
        <w:pStyle w:val="Heading3"/>
      </w:pPr>
      <w:bookmarkStart w:id="68" w:name="_Toc305338821"/>
      <w:bookmarkStart w:id="69" w:name="_Toc465080745"/>
      <w:r w:rsidRPr="009B3B7E">
        <w:t>Résidus chimiques :</w:t>
      </w:r>
      <w:bookmarkEnd w:id="68"/>
      <w:bookmarkEnd w:id="69"/>
    </w:p>
    <w:p w14:paraId="3406FC5B" w14:textId="67D79D8A" w:rsidR="00A94470" w:rsidRPr="009B3B7E" w:rsidRDefault="00A94470" w:rsidP="00A94470">
      <w:r w:rsidRPr="009B3B7E">
        <w:t xml:space="preserve">Pour l’analyse du taux d’insecticide, cinq échantillons de 10 x 10 cm seront découpés dans chaque moustiquaire échantillonnée : un au sommet de la moustiquaire et un dans chaque côté. Ces échantillons recevront une étiquette comportant leur numéro d’identification, puis ils seront conditionnés individuellement dans des feuilles d’aluminium et envoyés </w:t>
      </w:r>
      <w:commentRangeStart w:id="70"/>
      <w:r w:rsidRPr="009B3B7E">
        <w:t>au Centre wallon de recherches agronomiques (CRA-W), à Gembloux en Belgique (centre collaborateur de l’OMS pour le contrôle qualité des pesticides)</w:t>
      </w:r>
      <w:commentRangeEnd w:id="70"/>
      <w:r w:rsidRPr="009B3B7E">
        <w:rPr>
          <w:rStyle w:val="CommentReference"/>
        </w:rPr>
        <w:commentReference w:id="70"/>
      </w:r>
      <w:r w:rsidRPr="009B3B7E">
        <w:t>, où ils seront analysés selon la méthode analytique RESMM002, certifiée ISO 17025. Les échantillons seront mesurés et pesés, avant d’être introduits dans une fiole Erlenmeyer de 100 ml. L’</w:t>
      </w:r>
      <w:commentRangeStart w:id="71"/>
      <w:r w:rsidRPr="009B3B7E">
        <w:t>alpha-cyperméthrine</w:t>
      </w:r>
      <w:commentRangeEnd w:id="71"/>
      <w:r w:rsidRPr="009B3B7E">
        <w:rPr>
          <w:rStyle w:val="CommentReference"/>
        </w:rPr>
        <w:commentReference w:id="71"/>
      </w:r>
      <w:r w:rsidRPr="009B3B7E">
        <w:t xml:space="preserve"> sera extraite de l’échantillon à l’aide d’un chauffage à reflux pendant 60 minutes avec 40 ml de xylène. Dans cet extrait, l’</w:t>
      </w:r>
      <w:commentRangeStart w:id="72"/>
      <w:r w:rsidRPr="009B3B7E">
        <w:t>alpha-cyperméthrine</w:t>
      </w:r>
      <w:commentRangeEnd w:id="72"/>
      <w:r w:rsidRPr="009B3B7E">
        <w:rPr>
          <w:rStyle w:val="CommentReference"/>
        </w:rPr>
        <w:commentReference w:id="72"/>
      </w:r>
      <w:r w:rsidRPr="009B3B7E">
        <w:t xml:space="preserve"> sera déterminée au moyen d’une chromatographie en phase gazeuse avec détecteur à capture d’électrons 63Ni (GC-ECD) selon un étalonnage externe standard. Pour chaque échantillon, deux injections seront réalisées et la moyenne sera documentée sous forme de g/kg et de mg/m² d’</w:t>
      </w:r>
      <w:commentRangeStart w:id="73"/>
      <w:r w:rsidRPr="009B3B7E">
        <w:t>alpha-</w:t>
      </w:r>
      <w:proofErr w:type="spellStart"/>
      <w:r w:rsidRPr="009B3B7E">
        <w:t>cyperméthine</w:t>
      </w:r>
      <w:commentRangeEnd w:id="73"/>
      <w:proofErr w:type="spellEnd"/>
      <w:r w:rsidRPr="009B3B7E">
        <w:rPr>
          <w:rStyle w:val="CommentReference"/>
        </w:rPr>
        <w:commentReference w:id="73"/>
      </w:r>
      <w:r w:rsidRPr="009B3B7E">
        <w:t>.</w:t>
      </w:r>
    </w:p>
    <w:p w14:paraId="0EE8B378" w14:textId="77777777" w:rsidR="00A94470" w:rsidRPr="009B3B7E" w:rsidRDefault="00A94470" w:rsidP="00A94470">
      <w:pPr>
        <w:pStyle w:val="Heading2"/>
      </w:pPr>
      <w:bookmarkStart w:id="74" w:name="_Toc305338822"/>
      <w:bookmarkStart w:id="75" w:name="_Toc465080746"/>
      <w:r w:rsidRPr="009B3B7E">
        <w:t>Mesure des résultats</w:t>
      </w:r>
      <w:bookmarkEnd w:id="74"/>
      <w:bookmarkEnd w:id="75"/>
    </w:p>
    <w:p w14:paraId="1039A909" w14:textId="77777777" w:rsidR="00A94470" w:rsidRPr="009B3B7E" w:rsidRDefault="00A94470" w:rsidP="00A94470">
      <w:pPr>
        <w:rPr>
          <w:rFonts w:ascii="Calibri" w:hAnsi="Calibri" w:cs="Arial"/>
        </w:rPr>
      </w:pPr>
      <w:r w:rsidRPr="009B3B7E">
        <w:rPr>
          <w:rFonts w:ascii="Calibri" w:hAnsi="Calibri"/>
        </w:rPr>
        <w:t>Pour mesurer la durabilité physique, quatre critères principaux seront évalués.</w:t>
      </w:r>
    </w:p>
    <w:p w14:paraId="0F1678B8" w14:textId="77777777" w:rsidR="00A94470" w:rsidRPr="009B3B7E" w:rsidRDefault="00A94470" w:rsidP="00A94470">
      <w:pPr>
        <w:pStyle w:val="Heading3"/>
      </w:pPr>
      <w:bookmarkStart w:id="76" w:name="_Toc305338823"/>
      <w:bookmarkStart w:id="77" w:name="_Toc465080747"/>
      <w:r w:rsidRPr="009B3B7E">
        <w:t>Taux de perte des moustiquaires dû à l’usure :</w:t>
      </w:r>
      <w:bookmarkEnd w:id="76"/>
      <w:bookmarkEnd w:id="77"/>
    </w:p>
    <w:p w14:paraId="6C21D207" w14:textId="77777777" w:rsidR="00A94470" w:rsidRPr="009B3B7E" w:rsidRDefault="00A94470" w:rsidP="00A94470">
      <w:r w:rsidRPr="009B3B7E">
        <w:t>Ce taux est défini ainsi : proportion des moustiquaires reçues initialement (selon les registres) ayant été perdues en raison de l’usure normale (jetées, détruites ou récupérées pour un autre usage) au moment de l’évaluation. Ce critère ne comprend pas les moustiquaires qui ont été reçues, mais cédées à d’autres ou volées.</w:t>
      </w:r>
    </w:p>
    <w:p w14:paraId="75ED4960" w14:textId="77777777" w:rsidR="006E6130" w:rsidRPr="009B3B7E" w:rsidRDefault="00A94470" w:rsidP="00A94470">
      <w:pPr>
        <w:pStyle w:val="Heading3"/>
      </w:pPr>
      <w:bookmarkStart w:id="78" w:name="_Toc305338824"/>
      <w:bookmarkStart w:id="79" w:name="_Toc465080748"/>
      <w:r w:rsidRPr="009B3B7E">
        <w:lastRenderedPageBreak/>
        <w:t>Intégrité des moustiquaires :</w:t>
      </w:r>
      <w:bookmarkEnd w:id="78"/>
      <w:bookmarkEnd w:id="79"/>
    </w:p>
    <w:p w14:paraId="11A0CF57" w14:textId="7B1F2C24" w:rsidR="00A94470" w:rsidRPr="009B3B7E" w:rsidRDefault="00A94470" w:rsidP="00A94470">
      <w:pPr>
        <w:rPr>
          <w:rFonts w:ascii="Calibri" w:hAnsi="Calibri" w:cs="Arial"/>
        </w:rPr>
      </w:pPr>
      <w:r w:rsidRPr="009B3B7E">
        <w:rPr>
          <w:rFonts w:ascii="Calibri" w:hAnsi="Calibri"/>
        </w:rPr>
        <w:t>Ce critère sera premièrement mesuré par l’indice de trous proportionnel (</w:t>
      </w:r>
      <w:proofErr w:type="spellStart"/>
      <w:r w:rsidRPr="009B3B7E">
        <w:rPr>
          <w:rFonts w:ascii="Calibri" w:hAnsi="Calibri"/>
        </w:rPr>
        <w:t>pHI</w:t>
      </w:r>
      <w:proofErr w:type="spellEnd"/>
      <w:r w:rsidRPr="009B3B7E">
        <w:rPr>
          <w:rFonts w:ascii="Calibri" w:hAnsi="Calibri"/>
        </w:rPr>
        <w:t>), conformément aux recommandations de l’OMS [1]. Les données issues de l’évaluation des trous dans les moustiquaires seront converties en indice de trous proportionnel (</w:t>
      </w:r>
      <w:proofErr w:type="spellStart"/>
      <w:r w:rsidRPr="009B3B7E">
        <w:rPr>
          <w:rFonts w:ascii="Calibri" w:hAnsi="Calibri"/>
        </w:rPr>
        <w:t>pHI</w:t>
      </w:r>
      <w:proofErr w:type="spellEnd"/>
      <w:r w:rsidRPr="009B3B7E">
        <w:rPr>
          <w:rFonts w:ascii="Calibri" w:hAnsi="Calibri"/>
        </w:rPr>
        <w:t>) pour chaque moustiquaire selon la méthode suivante :</w:t>
      </w:r>
    </w:p>
    <w:p w14:paraId="613F01B0" w14:textId="1BA195A7" w:rsidR="00A94470" w:rsidRPr="009B3B7E" w:rsidRDefault="00A94470" w:rsidP="00A94470">
      <w:pPr>
        <w:rPr>
          <w:rFonts w:ascii="Calibri" w:hAnsi="Calibri" w:cs="Arial"/>
          <w:i/>
        </w:rPr>
      </w:pPr>
      <w:proofErr w:type="spellStart"/>
      <w:proofErr w:type="gramStart"/>
      <w:r w:rsidRPr="009B3B7E">
        <w:rPr>
          <w:rFonts w:ascii="Calibri" w:hAnsi="Calibri"/>
          <w:i/>
        </w:rPr>
        <w:t>pHI</w:t>
      </w:r>
      <w:proofErr w:type="spellEnd"/>
      <w:proofErr w:type="gramEnd"/>
      <w:r w:rsidRPr="009B3B7E">
        <w:rPr>
          <w:rFonts w:ascii="Calibri" w:hAnsi="Calibri"/>
          <w:i/>
        </w:rPr>
        <w:t> = nbre de trous de taille 1 + (nbre de trous de taille 2 x 23) + (nbre de trous de taille 3 x 196) + (nbre de trous de taille 4 x 576)</w:t>
      </w:r>
    </w:p>
    <w:p w14:paraId="4930A8E9" w14:textId="77777777" w:rsidR="00A94470" w:rsidRPr="009B3B7E" w:rsidRDefault="00A94470" w:rsidP="00A94470">
      <w:pPr>
        <w:rPr>
          <w:rFonts w:ascii="Calibri" w:hAnsi="Calibri" w:cs="Arial"/>
        </w:rPr>
      </w:pPr>
      <w:r w:rsidRPr="009B3B7E">
        <w:rPr>
          <w:rFonts w:ascii="Calibri" w:hAnsi="Calibri"/>
        </w:rPr>
        <w:t xml:space="preserve">En fonction du </w:t>
      </w:r>
      <w:proofErr w:type="spellStart"/>
      <w:r w:rsidRPr="009B3B7E">
        <w:rPr>
          <w:rFonts w:ascii="Calibri" w:hAnsi="Calibri"/>
        </w:rPr>
        <w:t>pHI</w:t>
      </w:r>
      <w:proofErr w:type="spellEnd"/>
      <w:r w:rsidRPr="009B3B7E">
        <w:rPr>
          <w:rFonts w:ascii="Calibri" w:hAnsi="Calibri"/>
        </w:rPr>
        <w:t>, chaque moustiquaire sera ensuite classée dans les catégories « bon état », « réparable » ou « déchirée » selon les critères suivants [2,3] :</w:t>
      </w:r>
    </w:p>
    <w:p w14:paraId="6ACCC2AA" w14:textId="78550727" w:rsidR="00A94470" w:rsidRPr="009B3B7E" w:rsidRDefault="006E6130" w:rsidP="006E6130">
      <w:pPr>
        <w:tabs>
          <w:tab w:val="left" w:pos="2127"/>
        </w:tabs>
        <w:ind w:left="720"/>
        <w:rPr>
          <w:rFonts w:ascii="Calibri" w:hAnsi="Calibri" w:cs="Arial"/>
        </w:rPr>
      </w:pPr>
      <w:r w:rsidRPr="009B3B7E">
        <w:rPr>
          <w:rFonts w:ascii="Calibri" w:hAnsi="Calibri"/>
        </w:rPr>
        <w:t xml:space="preserve">Bon état : </w:t>
      </w:r>
      <w:r w:rsidRPr="009B3B7E">
        <w:tab/>
      </w:r>
      <w:r w:rsidRPr="009B3B7E">
        <w:rPr>
          <w:rFonts w:ascii="Calibri" w:hAnsi="Calibri"/>
        </w:rPr>
        <w:t xml:space="preserve">surface totale des trous &lt; 0,01 m² ou </w:t>
      </w:r>
      <w:proofErr w:type="spellStart"/>
      <w:r w:rsidRPr="009B3B7E">
        <w:rPr>
          <w:rFonts w:ascii="Calibri" w:hAnsi="Calibri"/>
        </w:rPr>
        <w:t>pHI</w:t>
      </w:r>
      <w:proofErr w:type="spellEnd"/>
      <w:r w:rsidRPr="009B3B7E">
        <w:rPr>
          <w:rFonts w:ascii="Calibri" w:hAnsi="Calibri"/>
        </w:rPr>
        <w:t> &lt; 64</w:t>
      </w:r>
    </w:p>
    <w:p w14:paraId="4102235C" w14:textId="137B05D8" w:rsidR="006E6130" w:rsidRPr="009B3B7E" w:rsidRDefault="00A94470" w:rsidP="006E6130">
      <w:pPr>
        <w:tabs>
          <w:tab w:val="left" w:pos="2127"/>
        </w:tabs>
        <w:ind w:left="720"/>
        <w:rPr>
          <w:rFonts w:ascii="Calibri" w:hAnsi="Calibri" w:cs="Arial"/>
        </w:rPr>
      </w:pPr>
      <w:r w:rsidRPr="009B3B7E">
        <w:rPr>
          <w:rFonts w:ascii="Calibri" w:hAnsi="Calibri"/>
        </w:rPr>
        <w:t>Réparable :</w:t>
      </w:r>
      <w:r w:rsidRPr="009B3B7E">
        <w:tab/>
      </w:r>
      <w:r w:rsidRPr="009B3B7E">
        <w:rPr>
          <w:rFonts w:ascii="Calibri" w:hAnsi="Calibri"/>
        </w:rPr>
        <w:t xml:space="preserve">surface totale des trous &lt;= 0,1 m² ou </w:t>
      </w:r>
      <w:proofErr w:type="spellStart"/>
      <w:r w:rsidRPr="009B3B7E">
        <w:rPr>
          <w:rFonts w:ascii="Calibri" w:hAnsi="Calibri"/>
        </w:rPr>
        <w:t>pHI</w:t>
      </w:r>
      <w:proofErr w:type="spellEnd"/>
      <w:r w:rsidRPr="009B3B7E">
        <w:rPr>
          <w:rFonts w:ascii="Calibri" w:hAnsi="Calibri"/>
        </w:rPr>
        <w:t> &lt; 642</w:t>
      </w:r>
    </w:p>
    <w:p w14:paraId="721476A1" w14:textId="273FD120" w:rsidR="00A94470" w:rsidRPr="009B3B7E" w:rsidRDefault="006E6130" w:rsidP="006E6130">
      <w:pPr>
        <w:tabs>
          <w:tab w:val="left" w:pos="2127"/>
        </w:tabs>
        <w:ind w:firstLine="720"/>
        <w:rPr>
          <w:rFonts w:ascii="Calibri" w:hAnsi="Calibri" w:cs="Arial"/>
        </w:rPr>
      </w:pPr>
      <w:r w:rsidRPr="009B3B7E">
        <w:rPr>
          <w:rFonts w:ascii="Calibri" w:hAnsi="Calibri"/>
        </w:rPr>
        <w:t>Déchirée :</w:t>
      </w:r>
      <w:r w:rsidRPr="009B3B7E">
        <w:tab/>
      </w:r>
      <w:r w:rsidRPr="009B3B7E">
        <w:rPr>
          <w:rFonts w:ascii="Calibri" w:hAnsi="Calibri"/>
        </w:rPr>
        <w:t xml:space="preserve">surface totale des trous &gt; 0,1 m² ou </w:t>
      </w:r>
      <w:proofErr w:type="spellStart"/>
      <w:r w:rsidRPr="009B3B7E">
        <w:rPr>
          <w:rFonts w:ascii="Calibri" w:hAnsi="Calibri"/>
        </w:rPr>
        <w:t>pHI</w:t>
      </w:r>
      <w:proofErr w:type="spellEnd"/>
      <w:r w:rsidRPr="009B3B7E">
        <w:rPr>
          <w:rFonts w:ascii="Calibri" w:hAnsi="Calibri"/>
        </w:rPr>
        <w:t> &gt; 642</w:t>
      </w:r>
    </w:p>
    <w:p w14:paraId="221EBDAA" w14:textId="77777777" w:rsidR="006E6130" w:rsidRPr="009B3B7E" w:rsidRDefault="00A94470" w:rsidP="00A94470">
      <w:pPr>
        <w:pStyle w:val="Heading3"/>
      </w:pPr>
      <w:bookmarkStart w:id="80" w:name="_Toc305338825"/>
      <w:bookmarkStart w:id="81" w:name="_Toc465080749"/>
      <w:r w:rsidRPr="009B3B7E">
        <w:t>Survie des moustiquaires :</w:t>
      </w:r>
      <w:bookmarkEnd w:id="80"/>
      <w:bookmarkEnd w:id="81"/>
    </w:p>
    <w:p w14:paraId="2F4558A3" w14:textId="0A135133" w:rsidR="00A94470" w:rsidRPr="009B3B7E" w:rsidRDefault="00A94470" w:rsidP="00A94470">
      <w:pPr>
        <w:rPr>
          <w:rFonts w:ascii="Calibri" w:hAnsi="Calibri" w:cs="Arial"/>
        </w:rPr>
      </w:pPr>
      <w:r w:rsidRPr="009B3B7E">
        <w:rPr>
          <w:rFonts w:ascii="Calibri" w:hAnsi="Calibri"/>
        </w:rPr>
        <w:t>Ce critère combine les deux mesures précédentes, c’est-à-dire la proportion de moustiquaires reçues qui n’ont pas été cédées à d’autres et qui sont encore présentes dans un état « réparable ». À chaque évaluation, il sera calculé selon la formule suivante :</w:t>
      </w:r>
    </w:p>
    <w:p w14:paraId="12662701" w14:textId="77777777" w:rsidR="00A94470" w:rsidRPr="009B3B7E" w:rsidRDefault="00A94470" w:rsidP="00A94470">
      <w:pPr>
        <w:rPr>
          <w:rFonts w:ascii="Calibri" w:hAnsi="Calibri" w:cs="Arial"/>
        </w:rPr>
      </w:pPr>
      <w:r w:rsidRPr="009B3B7E">
        <w:rPr>
          <w:rFonts w:ascii="Calibri" w:hAnsi="Calibri" w:cs="Arial"/>
          <w:noProof/>
          <w:lang w:val="en-US" w:eastAsia="en-US" w:bidi="ar-SA"/>
        </w:rPr>
        <w:drawing>
          <wp:inline distT="0" distB="0" distL="0" distR="0" wp14:anchorId="6FC977DC" wp14:editId="1F08275D">
            <wp:extent cx="5633085"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615950"/>
                    </a:xfrm>
                    <a:prstGeom prst="rect">
                      <a:avLst/>
                    </a:prstGeom>
                    <a:noFill/>
                  </pic:spPr>
                </pic:pic>
              </a:graphicData>
            </a:graphic>
          </wp:inline>
        </w:drawing>
      </w:r>
    </w:p>
    <w:p w14:paraId="21396E60" w14:textId="77777777" w:rsidR="006E6130" w:rsidRPr="009B3B7E" w:rsidRDefault="00A94470" w:rsidP="00A94470">
      <w:pPr>
        <w:pStyle w:val="Heading3"/>
      </w:pPr>
      <w:bookmarkStart w:id="82" w:name="_Toc305338826"/>
      <w:bookmarkStart w:id="83" w:name="_Toc465080750"/>
      <w:r w:rsidRPr="009B3B7E">
        <w:t>Survie médiane des moustiquaires :</w:t>
      </w:r>
      <w:bookmarkEnd w:id="82"/>
      <w:bookmarkEnd w:id="83"/>
    </w:p>
    <w:p w14:paraId="4FD09DF6" w14:textId="105ED5B6" w:rsidR="00A94470" w:rsidRPr="009B3B7E" w:rsidRDefault="00A94470" w:rsidP="00A94470">
      <w:pPr>
        <w:rPr>
          <w:rFonts w:ascii="Calibri" w:hAnsi="Calibri" w:cs="Arial"/>
        </w:rPr>
      </w:pPr>
      <w:r w:rsidRPr="009B3B7E">
        <w:rPr>
          <w:rFonts w:ascii="Calibri" w:hAnsi="Calibri"/>
        </w:rPr>
        <w:t>La survie médiane des moustiquaires est estimée à partir d’au moins deux points temporels, le moins élevé étant inférieur à 85 % selon la formule suivante :</w:t>
      </w:r>
    </w:p>
    <w:p w14:paraId="1148D5CA" w14:textId="77777777" w:rsidR="00A94470" w:rsidRPr="009B3B7E" w:rsidRDefault="00A94470" w:rsidP="00A94470">
      <w:pPr>
        <w:pStyle w:val="NoSpacing"/>
        <w:spacing w:line="480" w:lineRule="auto"/>
        <w:rPr>
          <w:iCs/>
        </w:rPr>
      </w:pPr>
      <m:oMathPara>
        <m:oMath>
          <m:r>
            <m:rPr>
              <m:sty m:val="p"/>
            </m:rPr>
            <w:rPr>
              <w:rFonts w:ascii="Cambria Math" w:hAnsi="Cambria Math"/>
            </w:rPr>
            <m:t>t</m:t>
          </m:r>
          <m:r>
            <m:rPr>
              <m:sty m:val="p"/>
            </m:rPr>
            <w:rPr>
              <w:rFonts w:ascii="Cambria Math" w:hAnsi="Cambria Math"/>
              <w:vertAlign w:val="subscript"/>
            </w:rPr>
            <m:t>m</m:t>
          </m:r>
          <m:r>
            <m:rPr>
              <m:sty m:val="p"/>
            </m:rPr>
            <w:rPr>
              <w:rFonts w:ascii="Cambria Math" w:hAnsi="Cambria Math"/>
            </w:rPr>
            <m:t>=</m:t>
          </m:r>
          <m:r>
            <w:rPr>
              <w:rFonts w:ascii="Cambria Math" w:hAnsi="Cambria Math"/>
            </w:rPr>
            <m:t>t</m:t>
          </m:r>
          <m:r>
            <w:rPr>
              <w:rFonts w:ascii="Cambria Math" w:hAnsi="Cambria Math"/>
              <w:vertAlign w:val="subscript"/>
            </w:rPr>
            <m:t>1</m:t>
          </m:r>
          <m:r>
            <w:rPr>
              <w:rFonts w:ascii="Cambria Math" w:hAnsi="Cambria Math"/>
            </w:rPr>
            <m:t>+</m:t>
          </m:r>
          <m:f>
            <m:fPr>
              <m:ctrlPr>
                <w:rPr>
                  <w:rFonts w:ascii="Cambria Math" w:hAnsi="Cambria Math"/>
                  <w:i/>
                  <w:iCs/>
                </w:rPr>
              </m:ctrlPr>
            </m:fPr>
            <m:num>
              <m:d>
                <m:dPr>
                  <m:ctrlPr>
                    <w:rPr>
                      <w:rFonts w:ascii="Cambria Math" w:hAnsi="Cambria Math"/>
                      <w:i/>
                      <w:iCs/>
                    </w:rPr>
                  </m:ctrlPr>
                </m:dPr>
                <m:e>
                  <m:r>
                    <w:rPr>
                      <w:rFonts w:ascii="Cambria Math" w:hAnsi="Cambria Math"/>
                    </w:rPr>
                    <m:t>t</m:t>
                  </m:r>
                  <m:r>
                    <w:rPr>
                      <w:rFonts w:ascii="Cambria Math" w:hAnsi="Cambria Math"/>
                      <w:vertAlign w:val="subscript"/>
                    </w:rPr>
                    <m:t>2</m:t>
                  </m:r>
                  <m:r>
                    <w:rPr>
                      <w:rFonts w:ascii="Cambria Math" w:hAnsi="Cambria Math"/>
                    </w:rPr>
                    <m:t>-t</m:t>
                  </m:r>
                  <m:r>
                    <w:rPr>
                      <w:rFonts w:ascii="Cambria Math" w:hAnsi="Cambria Math"/>
                      <w:vertAlign w:val="subscript"/>
                    </w:rPr>
                    <m:t>1</m:t>
                  </m:r>
                </m:e>
              </m:d>
              <m:r>
                <w:rPr>
                  <w:rFonts w:ascii="Cambria Math" w:hAnsi="Cambria Math"/>
                </w:rPr>
                <m:t>*</m:t>
              </m:r>
              <m:d>
                <m:dPr>
                  <m:ctrlPr>
                    <w:rPr>
                      <w:rFonts w:ascii="Cambria Math" w:hAnsi="Cambria Math"/>
                      <w:i/>
                      <w:iCs/>
                    </w:rPr>
                  </m:ctrlPr>
                </m:dPr>
                <m:e>
                  <m:r>
                    <w:rPr>
                      <w:rFonts w:ascii="Cambria Math" w:hAnsi="Cambria Math"/>
                    </w:rPr>
                    <m:t>p</m:t>
                  </m:r>
                  <m:r>
                    <w:rPr>
                      <w:rFonts w:ascii="Cambria Math" w:hAnsi="Cambria Math"/>
                      <w:vertAlign w:val="subscript"/>
                    </w:rPr>
                    <m:t>1</m:t>
                  </m:r>
                  <m:r>
                    <w:rPr>
                      <w:rFonts w:ascii="Cambria Math" w:hAnsi="Cambria Math"/>
                    </w:rPr>
                    <m:t>-50</m:t>
                  </m:r>
                </m:e>
              </m:d>
            </m:num>
            <m:den>
              <m:d>
                <m:dPr>
                  <m:ctrlPr>
                    <w:rPr>
                      <w:rFonts w:ascii="Cambria Math" w:hAnsi="Cambria Math"/>
                      <w:i/>
                      <w:iCs/>
                    </w:rPr>
                  </m:ctrlPr>
                </m:dPr>
                <m:e>
                  <m:r>
                    <w:rPr>
                      <w:rFonts w:ascii="Cambria Math" w:hAnsi="Cambria Math"/>
                    </w:rPr>
                    <m:t>p</m:t>
                  </m:r>
                  <m:r>
                    <w:rPr>
                      <w:rFonts w:ascii="Cambria Math" w:hAnsi="Cambria Math"/>
                      <w:vertAlign w:val="subscript"/>
                    </w:rPr>
                    <m:t>1</m:t>
                  </m:r>
                  <m:r>
                    <w:rPr>
                      <w:rFonts w:ascii="Cambria Math" w:hAnsi="Cambria Math"/>
                    </w:rPr>
                    <m:t>-p</m:t>
                  </m:r>
                  <m:r>
                    <w:rPr>
                      <w:rFonts w:ascii="Cambria Math" w:hAnsi="Cambria Math"/>
                      <w:vertAlign w:val="subscript"/>
                    </w:rPr>
                    <m:t>2</m:t>
                  </m:r>
                </m:e>
              </m:d>
            </m:den>
          </m:f>
        </m:oMath>
      </m:oMathPara>
    </w:p>
    <w:p w14:paraId="0BC4195B" w14:textId="77777777" w:rsidR="006E6130" w:rsidRPr="009B3B7E" w:rsidRDefault="00A94470" w:rsidP="00A94470">
      <w:pPr>
        <w:rPr>
          <w:rFonts w:ascii="Calibri" w:hAnsi="Calibri" w:cs="Arial"/>
        </w:rPr>
      </w:pPr>
      <w:proofErr w:type="spellStart"/>
      <w:proofErr w:type="gramStart"/>
      <w:r w:rsidRPr="009B3B7E">
        <w:rPr>
          <w:rFonts w:ascii="Calibri" w:hAnsi="Calibri"/>
        </w:rPr>
        <w:t>tm</w:t>
      </w:r>
      <w:proofErr w:type="spellEnd"/>
      <w:proofErr w:type="gramEnd"/>
      <w:r w:rsidRPr="009B3B7E">
        <w:rPr>
          <w:rFonts w:ascii="Calibri" w:hAnsi="Calibri"/>
        </w:rPr>
        <w:t xml:space="preserve"> désigne la survie médiane, t1 et t2 désignent respectivement le premier et le second point temporel, et p1 et p2 désignent respectivement le pourcentage survivant aux premier et deuxième points temporels.</w:t>
      </w:r>
    </w:p>
    <w:p w14:paraId="1D9CB800" w14:textId="334C28C0" w:rsidR="00A94470" w:rsidRPr="009B3B7E" w:rsidRDefault="00A94470" w:rsidP="00A94470">
      <w:pPr>
        <w:rPr>
          <w:rFonts w:ascii="Calibri" w:hAnsi="Calibri" w:cs="Arial"/>
        </w:rPr>
      </w:pPr>
      <w:r w:rsidRPr="009B3B7E">
        <w:rPr>
          <w:rFonts w:ascii="Calibri" w:hAnsi="Calibri"/>
        </w:rPr>
        <w:t>Les mesures secondaires comprendront les critères suivants :</w:t>
      </w:r>
    </w:p>
    <w:p w14:paraId="204B9F09" w14:textId="77777777" w:rsidR="00A94470" w:rsidRPr="009B3B7E" w:rsidRDefault="00A94470" w:rsidP="00A94470">
      <w:pPr>
        <w:pStyle w:val="Heading3"/>
      </w:pPr>
      <w:bookmarkStart w:id="84" w:name="_Toc305338827"/>
      <w:bookmarkStart w:id="85" w:name="_Toc465080751"/>
      <w:r w:rsidRPr="009B3B7E">
        <w:t>Résidus chimiques :</w:t>
      </w:r>
      <w:bookmarkEnd w:id="84"/>
      <w:bookmarkEnd w:id="85"/>
    </w:p>
    <w:p w14:paraId="1020D73E" w14:textId="77777777" w:rsidR="00A94470" w:rsidRPr="009B3B7E" w:rsidRDefault="00A94470" w:rsidP="00A94470">
      <w:pPr>
        <w:rPr>
          <w:rFonts w:ascii="Calibri" w:hAnsi="Calibri" w:cs="Arial"/>
        </w:rPr>
      </w:pPr>
      <w:r w:rsidRPr="009B3B7E">
        <w:rPr>
          <w:rFonts w:ascii="Calibri" w:hAnsi="Calibri"/>
        </w:rPr>
        <w:t>Deux mesures seront utilisées :</w:t>
      </w:r>
    </w:p>
    <w:p w14:paraId="56EE1720" w14:textId="77777777" w:rsidR="00A94470" w:rsidRPr="009B3B7E" w:rsidRDefault="00A94470" w:rsidP="00A94470">
      <w:pPr>
        <w:pStyle w:val="ListParagraph"/>
        <w:numPr>
          <w:ilvl w:val="0"/>
          <w:numId w:val="25"/>
        </w:numPr>
        <w:rPr>
          <w:rFonts w:ascii="Calibri" w:hAnsi="Calibri" w:cs="Arial"/>
        </w:rPr>
      </w:pPr>
      <w:proofErr w:type="gramStart"/>
      <w:r w:rsidRPr="009B3B7E">
        <w:rPr>
          <w:rFonts w:ascii="Calibri" w:hAnsi="Calibri"/>
        </w:rPr>
        <w:t>le</w:t>
      </w:r>
      <w:proofErr w:type="gramEnd"/>
      <w:r w:rsidRPr="009B3B7E">
        <w:rPr>
          <w:rFonts w:ascii="Calibri" w:hAnsi="Calibri"/>
        </w:rPr>
        <w:t xml:space="preserve"> taux géométrique moyen d’insecticide sur la totalité de l’échantillon pour chaque lieu ;</w:t>
      </w:r>
    </w:p>
    <w:p w14:paraId="415AD69C" w14:textId="77777777" w:rsidR="00A94470" w:rsidRPr="009B3B7E" w:rsidRDefault="00A94470" w:rsidP="00A94470">
      <w:pPr>
        <w:pStyle w:val="Heading3"/>
      </w:pPr>
      <w:bookmarkStart w:id="86" w:name="_Toc305338828"/>
      <w:bookmarkStart w:id="87" w:name="_Toc465080752"/>
      <w:r w:rsidRPr="009B3B7E">
        <w:lastRenderedPageBreak/>
        <w:t>Bio-essais :</w:t>
      </w:r>
      <w:bookmarkEnd w:id="86"/>
      <w:bookmarkEnd w:id="87"/>
    </w:p>
    <w:p w14:paraId="54E7E388" w14:textId="129E4616" w:rsidR="00A94470" w:rsidRPr="009B3B7E" w:rsidRDefault="00A94470" w:rsidP="00A94470">
      <w:pPr>
        <w:rPr>
          <w:rFonts w:ascii="Calibri" w:hAnsi="Calibri" w:cs="Arial"/>
        </w:rPr>
      </w:pPr>
      <w:r w:rsidRPr="009B3B7E">
        <w:rPr>
          <w:rFonts w:ascii="Calibri" w:hAnsi="Calibri"/>
        </w:rPr>
        <w:t xml:space="preserve">L’efficacité des moustiquaires </w:t>
      </w:r>
      <w:r w:rsidR="00BD77C2">
        <w:rPr>
          <w:rFonts w:ascii="Calibri" w:hAnsi="Calibri"/>
        </w:rPr>
        <w:t xml:space="preserve">standard </w:t>
      </w:r>
      <w:r w:rsidRPr="009B3B7E">
        <w:rPr>
          <w:rFonts w:ascii="Calibri" w:hAnsi="Calibri"/>
        </w:rPr>
        <w:t>sera principalement mesurée à l’aide des bio-essais selon les critères suivants :</w:t>
      </w:r>
    </w:p>
    <w:p w14:paraId="5F10AF79" w14:textId="73A6F6F6" w:rsidR="00A94470" w:rsidRPr="009B3B7E" w:rsidRDefault="009B3B7E" w:rsidP="00A94470">
      <w:pPr>
        <w:rPr>
          <w:rFonts w:ascii="Calibri" w:hAnsi="Calibri" w:cs="Arial"/>
        </w:rPr>
      </w:pPr>
      <w:r>
        <w:rPr>
          <w:rFonts w:ascii="Calibri" w:hAnsi="Calibri"/>
        </w:rPr>
        <w:t>E</w:t>
      </w:r>
      <w:r w:rsidR="00A94470" w:rsidRPr="009B3B7E">
        <w:rPr>
          <w:rFonts w:ascii="Calibri" w:hAnsi="Calibri"/>
        </w:rPr>
        <w:t>fficacité optimale : KD60 ≥ 95 % ou mortalité fonctionnelle ≥ 80 %</w:t>
      </w:r>
    </w:p>
    <w:p w14:paraId="1E289159" w14:textId="77777777" w:rsidR="00A94470" w:rsidRPr="009B3B7E" w:rsidRDefault="00A94470" w:rsidP="00A94470">
      <w:pPr>
        <w:rPr>
          <w:rFonts w:ascii="Calibri" w:hAnsi="Calibri" w:cs="Arial"/>
        </w:rPr>
      </w:pPr>
      <w:r w:rsidRPr="009B3B7E">
        <w:rPr>
          <w:rFonts w:ascii="Calibri" w:hAnsi="Calibri"/>
        </w:rPr>
        <w:t>Efficacité minimale : KD60 ≥ 75% ou mortalité fonctionnelle ≥ 50%</w:t>
      </w:r>
    </w:p>
    <w:p w14:paraId="6169CF86" w14:textId="77777777" w:rsidR="00A94470" w:rsidRPr="009B3B7E" w:rsidRDefault="00A94470" w:rsidP="00A94470">
      <w:pPr>
        <w:pStyle w:val="Heading2"/>
      </w:pPr>
      <w:bookmarkStart w:id="88" w:name="_Toc305338829"/>
      <w:bookmarkStart w:id="89" w:name="_Toc465080753"/>
      <w:r w:rsidRPr="009B3B7E">
        <w:t xml:space="preserve">Analyse et </w:t>
      </w:r>
      <w:proofErr w:type="spellStart"/>
      <w:r w:rsidRPr="009B3B7E">
        <w:t>reporting</w:t>
      </w:r>
      <w:proofErr w:type="spellEnd"/>
      <w:r w:rsidRPr="009B3B7E">
        <w:t xml:space="preserve"> des données</w:t>
      </w:r>
      <w:bookmarkEnd w:id="88"/>
      <w:bookmarkEnd w:id="89"/>
    </w:p>
    <w:p w14:paraId="334B37D9" w14:textId="75F81396" w:rsidR="00A94470" w:rsidRPr="009B3B7E" w:rsidRDefault="009E125D" w:rsidP="00A94470">
      <w:pPr>
        <w:rPr>
          <w:rFonts w:ascii="Calibri" w:hAnsi="Calibri" w:cs="Arial"/>
        </w:rPr>
      </w:pPr>
      <w:r w:rsidRPr="009B3B7E">
        <w:rPr>
          <w:rFonts w:ascii="Calibri" w:hAnsi="Calibri"/>
        </w:rPr>
        <w:t xml:space="preserve">En cas de données recueillies au format papier, les questionnaires vérifiés sur le terrain seront saisis deux fois dans un logiciel adapté (par exemple, </w:t>
      </w:r>
      <w:proofErr w:type="spellStart"/>
      <w:r w:rsidRPr="009B3B7E">
        <w:rPr>
          <w:rFonts w:ascii="Calibri" w:hAnsi="Calibri"/>
        </w:rPr>
        <w:t>EpiData</w:t>
      </w:r>
      <w:proofErr w:type="spellEnd"/>
      <w:r w:rsidRPr="009B3B7E">
        <w:rPr>
          <w:rFonts w:ascii="Calibri" w:hAnsi="Calibri"/>
        </w:rPr>
        <w:t>), puis ils seront validés et les incohérences seront corrigées avant de transférer les données vers un logiciel d’analyse statistique. Si en revanche les données sont recueillies au format numérique, elles seront transférées depuis les dispositifs électroniques vers la base de données centrale (par exemple, MS Access). Lors de chaque cycle d’évaluation, une fois que toutes les données auront été collectées et vérifiées, ces ensembles de données seront transférés vers le logiciel d’analyse statistique (par exemple, Stata, SPSS ou R), qui vérifiera encore une fois la cohérence et préparera les données pour l’analyse. Ce processus sera documenté en utilisant par exemple des do-files (macros) Stata, pour que les partenaires éventuellement intéressés puissent reproduire les mêmes étapes avec leur propre copie des données.</w:t>
      </w:r>
    </w:p>
    <w:p w14:paraId="08788636" w14:textId="77777777" w:rsidR="006E6130" w:rsidRPr="009B3B7E" w:rsidRDefault="00A94470" w:rsidP="00A94470">
      <w:pPr>
        <w:rPr>
          <w:rFonts w:ascii="Calibri" w:hAnsi="Calibri" w:cs="Arial"/>
        </w:rPr>
      </w:pPr>
      <w:r w:rsidRPr="009B3B7E">
        <w:rPr>
          <w:rFonts w:ascii="Calibri" w:hAnsi="Calibri"/>
        </w:rPr>
        <w:t>L’analyse finale suivra la présentation des critères de résultats préalablement définis (voir ci-dessus). Comme l’échantillonnage est effectué dans une première étape avec la méthode de probabilité proportionnelle à la taille, l’échantillon peut être considéré comme globalement non biaisé et ne nécessitant pas de pondération. Cela suppose néanmoins que la taille des grappes (communautés) soit sensiblement identique. Si ce n’est pas le cas, une pondération de l’échantillonnage devra être effectuée. Pour le calcul des intervalles de confiance sur les estimations, la corrélation entre les grappes doit être prise en compte (effet du plan d’échantillonnage). En plus d’une analyse descriptive à une seule variable, une analyse multivariée sera réalisée pour évaluer les facteurs déterminant la durabilité physique. Les données concernant l’attitude des ménages vis-à-vis de l’entretien et des réparations selon l’échelle de Likert seront résumées en attribuant un code à cette échelle sur quatre niveaux : -2 pour « pas du tout d’accord », -1 pour « pas d’accord », +1 pour « d’accord » et +2 pour « tout à fait d’accord ». Ces scores attribués à l’attitude de chaque répondant seront ensuite additionnés et divisés par le nombre de réponses pour calculer le score global correspondant à cette attitude.</w:t>
      </w:r>
    </w:p>
    <w:p w14:paraId="0CC352B8" w14:textId="7D0D7619" w:rsidR="00A94470" w:rsidRPr="009B3B7E" w:rsidRDefault="00A94470" w:rsidP="00A94470">
      <w:pPr>
        <w:rPr>
          <w:rFonts w:ascii="Calibri" w:hAnsi="Calibri" w:cs="Arial"/>
        </w:rPr>
      </w:pPr>
      <w:r w:rsidRPr="009B3B7E">
        <w:rPr>
          <w:rFonts w:ascii="Calibri" w:hAnsi="Calibri"/>
        </w:rPr>
        <w:t>Un indice de richesse sera calculé pour chaque ménage à l’aide d’une analyse en composantes principales (ACP). Ce calcul utilisera les variables correspondant aux équipements, actifs, bétails et autres caractéristiques des ménages liées à leur statut socio-économique. Toutes ces variables seront dichotomisées, à l’exception des animaux, pour lesquels le nombre total sera utilisé. La première composante de l’ACP servira d’indice de richesse. Les ménages seront ensuite classés, selon leur indice, en quintiles au sein de chaque lieu et à chaque cycle.</w:t>
      </w:r>
    </w:p>
    <w:p w14:paraId="226969BD" w14:textId="77777777" w:rsidR="006E6130" w:rsidRPr="009B3B7E" w:rsidRDefault="00A94470" w:rsidP="00A94470">
      <w:pPr>
        <w:rPr>
          <w:rFonts w:ascii="Calibri" w:hAnsi="Calibri" w:cs="Arial"/>
        </w:rPr>
      </w:pPr>
      <w:r w:rsidRPr="009B3B7E">
        <w:rPr>
          <w:rFonts w:ascii="Calibri" w:hAnsi="Calibri"/>
        </w:rPr>
        <w:lastRenderedPageBreak/>
        <w:t>Des résultats préliminaires seront transmis à tous les partenaires et débattus après chaque cycle d’évaluation. Un rapport préliminaire sera rédigé. Lorsque le rapport final aura été achevé, une réunion de diffusion des informations sera organisée pour présenter les conclusions et les recommandations à tous les partenaires et parties prenantes. Ce rapport, ainsi que les données, seront publiés sur un site Internet dédié à la surveillance de la durabilité des MILD (</w:t>
      </w:r>
      <w:hyperlink r:id="rId18">
        <w:r w:rsidRPr="009B3B7E">
          <w:rPr>
            <w:rStyle w:val="Hyperlink"/>
            <w:rFonts w:ascii="Calibri" w:hAnsi="Calibri"/>
          </w:rPr>
          <w:t>www.durabilitymonitoring.org</w:t>
        </w:r>
      </w:hyperlink>
      <w:r w:rsidRPr="009B3B7E">
        <w:rPr>
          <w:rFonts w:ascii="Calibri" w:hAnsi="Calibri"/>
        </w:rPr>
        <w:t>).</w:t>
      </w:r>
    </w:p>
    <w:p w14:paraId="5D81E33D" w14:textId="12C1731A" w:rsidR="00A94470" w:rsidRPr="009B3B7E" w:rsidRDefault="00A94470" w:rsidP="00A94470">
      <w:pPr>
        <w:rPr>
          <w:rFonts w:ascii="Calibri" w:hAnsi="Calibri" w:cs="Arial"/>
          <w:b/>
        </w:rPr>
      </w:pPr>
    </w:p>
    <w:p w14:paraId="5AF78B40" w14:textId="77777777" w:rsidR="00A94470" w:rsidRPr="009B3B7E" w:rsidRDefault="00A94470" w:rsidP="00A94470">
      <w:pPr>
        <w:pStyle w:val="Heading1"/>
      </w:pPr>
      <w:bookmarkStart w:id="90" w:name="_Toc305338830"/>
      <w:bookmarkStart w:id="91" w:name="_Toc465080754"/>
      <w:r w:rsidRPr="009B3B7E">
        <w:t>Considérations déontologiques</w:t>
      </w:r>
      <w:bookmarkEnd w:id="90"/>
      <w:bookmarkEnd w:id="91"/>
    </w:p>
    <w:p w14:paraId="65A60C43" w14:textId="77777777" w:rsidR="00A94470" w:rsidRPr="009B3B7E" w:rsidRDefault="00A94470" w:rsidP="00A94470">
      <w:pPr>
        <w:rPr>
          <w:rFonts w:ascii="Calibri" w:hAnsi="Calibri" w:cs="Arial"/>
        </w:rPr>
      </w:pPr>
    </w:p>
    <w:p w14:paraId="2E314367" w14:textId="77777777" w:rsidR="00A94470" w:rsidRPr="009B3B7E" w:rsidRDefault="00A94470" w:rsidP="00A94470">
      <w:pPr>
        <w:pStyle w:val="BodyText3"/>
        <w:jc w:val="left"/>
        <w:rPr>
          <w:rFonts w:ascii="Calibri" w:hAnsi="Calibri"/>
          <w:szCs w:val="24"/>
        </w:rPr>
      </w:pPr>
      <w:r w:rsidRPr="009B3B7E">
        <w:rPr>
          <w:rFonts w:ascii="Calibri" w:hAnsi="Calibri"/>
        </w:rPr>
        <w:t xml:space="preserve">L’étude proposée sera réalisée dans le respect de la Déclaration d’Helsinki et des recommandations internationales pour l’examen déontologique des études épidémiologiques (International Guidelines for </w:t>
      </w:r>
      <w:proofErr w:type="spellStart"/>
      <w:r w:rsidRPr="009B3B7E">
        <w:rPr>
          <w:rFonts w:ascii="Calibri" w:hAnsi="Calibri"/>
        </w:rPr>
        <w:t>Ethical</w:t>
      </w:r>
      <w:proofErr w:type="spellEnd"/>
      <w:r w:rsidRPr="009B3B7E">
        <w:rPr>
          <w:rFonts w:ascii="Calibri" w:hAnsi="Calibri"/>
        </w:rPr>
        <w:t xml:space="preserve"> </w:t>
      </w:r>
      <w:proofErr w:type="spellStart"/>
      <w:r w:rsidRPr="009B3B7E">
        <w:rPr>
          <w:rFonts w:ascii="Calibri" w:hAnsi="Calibri"/>
        </w:rPr>
        <w:t>Review</w:t>
      </w:r>
      <w:proofErr w:type="spellEnd"/>
      <w:r w:rsidRPr="009B3B7E">
        <w:rPr>
          <w:rFonts w:ascii="Calibri" w:hAnsi="Calibri"/>
        </w:rPr>
        <w:t xml:space="preserve"> of </w:t>
      </w:r>
      <w:proofErr w:type="spellStart"/>
      <w:r w:rsidRPr="009B3B7E">
        <w:rPr>
          <w:rFonts w:ascii="Calibri" w:hAnsi="Calibri"/>
        </w:rPr>
        <w:t>Epidemiological</w:t>
      </w:r>
      <w:proofErr w:type="spellEnd"/>
      <w:r w:rsidRPr="009B3B7E">
        <w:rPr>
          <w:rFonts w:ascii="Calibri" w:hAnsi="Calibri"/>
        </w:rPr>
        <w:t xml:space="preserve"> </w:t>
      </w:r>
      <w:proofErr w:type="spellStart"/>
      <w:r w:rsidRPr="009B3B7E">
        <w:rPr>
          <w:rFonts w:ascii="Calibri" w:hAnsi="Calibri"/>
        </w:rPr>
        <w:t>Studies</w:t>
      </w:r>
      <w:proofErr w:type="spellEnd"/>
      <w:r w:rsidRPr="009B3B7E">
        <w:rPr>
          <w:rFonts w:ascii="Calibri" w:hAnsi="Calibri"/>
        </w:rPr>
        <w:t>).</w:t>
      </w:r>
    </w:p>
    <w:p w14:paraId="32F390D3" w14:textId="77777777" w:rsidR="00A94470" w:rsidRPr="009B3B7E" w:rsidRDefault="00A94470" w:rsidP="00A94470">
      <w:pPr>
        <w:jc w:val="both"/>
        <w:rPr>
          <w:rFonts w:ascii="Calibri" w:hAnsi="Calibri"/>
        </w:rPr>
      </w:pPr>
      <w:r w:rsidRPr="009B3B7E">
        <w:rPr>
          <w:rFonts w:ascii="Calibri" w:hAnsi="Calibri"/>
        </w:rPr>
        <w:t>Les principes suivants seront particulièrement appliqués :</w:t>
      </w:r>
    </w:p>
    <w:p w14:paraId="4507B04A" w14:textId="77777777" w:rsidR="00A94470" w:rsidRPr="009B3B7E" w:rsidRDefault="00A94470" w:rsidP="00A94470">
      <w:pPr>
        <w:pStyle w:val="Heading2"/>
      </w:pPr>
      <w:bookmarkStart w:id="92" w:name="_Toc305338831"/>
      <w:bookmarkStart w:id="93" w:name="_Toc465080755"/>
      <w:r w:rsidRPr="009B3B7E">
        <w:t>Consentement éclairé</w:t>
      </w:r>
      <w:bookmarkEnd w:id="92"/>
      <w:bookmarkEnd w:id="93"/>
    </w:p>
    <w:p w14:paraId="417E48D9" w14:textId="77777777" w:rsidR="006E6130" w:rsidRPr="009B3B7E" w:rsidRDefault="00A94470" w:rsidP="00A94470">
      <w:pPr>
        <w:pStyle w:val="BodyText3"/>
        <w:jc w:val="left"/>
        <w:rPr>
          <w:rFonts w:ascii="Calibri" w:hAnsi="Calibri"/>
          <w:szCs w:val="24"/>
        </w:rPr>
      </w:pPr>
      <w:r w:rsidRPr="009B3B7E">
        <w:rPr>
          <w:rFonts w:ascii="Calibri" w:hAnsi="Calibri"/>
        </w:rPr>
        <w:t>Tous les membres des ménages sélectionnés seront informés de l’objectif et de la nature de l’étude, de ce qu’implique la participation à l’étude et des risques et avantages possibles. Leur accord verbal sera obtenu. On insistera sur le fait que tout membre du ménage peut retirer sa participation à l’étude sans aucune conséquence négative.</w:t>
      </w:r>
    </w:p>
    <w:p w14:paraId="3120631F" w14:textId="410A4177" w:rsidR="00A94470" w:rsidRPr="009B3B7E" w:rsidRDefault="00A94470" w:rsidP="00A94470">
      <w:pPr>
        <w:pStyle w:val="Heading2"/>
      </w:pPr>
      <w:bookmarkStart w:id="94" w:name="_Toc305338832"/>
      <w:bookmarkStart w:id="95" w:name="_Toc465080756"/>
      <w:r w:rsidRPr="009B3B7E">
        <w:t>Avantage maximal - danger minimal</w:t>
      </w:r>
      <w:bookmarkEnd w:id="94"/>
      <w:bookmarkEnd w:id="95"/>
    </w:p>
    <w:p w14:paraId="42876491" w14:textId="77777777" w:rsidR="00A94470" w:rsidRPr="009B3B7E" w:rsidRDefault="00A94470" w:rsidP="00A94470">
      <w:pPr>
        <w:rPr>
          <w:rFonts w:ascii="Calibri" w:hAnsi="Calibri"/>
        </w:rPr>
      </w:pPr>
      <w:r w:rsidRPr="009B3B7E">
        <w:rPr>
          <w:rFonts w:ascii="Calibri" w:hAnsi="Calibri"/>
        </w:rPr>
        <w:t>Cette étude reposera exclusivement sur des entretiens et aucun échantillon ne sera prélevé. Par conséquent, a priori, les participants ne courront aucun danger.</w:t>
      </w:r>
    </w:p>
    <w:p w14:paraId="5F29F361" w14:textId="77777777" w:rsidR="00A94470" w:rsidRPr="009B3B7E" w:rsidRDefault="00A94470" w:rsidP="00A94470">
      <w:pPr>
        <w:pStyle w:val="Heading2"/>
      </w:pPr>
      <w:bookmarkStart w:id="96" w:name="_Toc305338833"/>
      <w:bookmarkStart w:id="97" w:name="_Toc465080757"/>
      <w:r w:rsidRPr="009B3B7E">
        <w:t>Confidentialité</w:t>
      </w:r>
      <w:bookmarkEnd w:id="96"/>
      <w:bookmarkEnd w:id="97"/>
    </w:p>
    <w:p w14:paraId="676AAEDF" w14:textId="1CEB9EA6" w:rsidR="00A94470" w:rsidRPr="009B3B7E" w:rsidRDefault="00A94470" w:rsidP="00A94470">
      <w:pPr>
        <w:pStyle w:val="BodyText3"/>
        <w:jc w:val="left"/>
        <w:rPr>
          <w:rFonts w:ascii="Calibri" w:hAnsi="Calibri"/>
          <w:szCs w:val="24"/>
        </w:rPr>
      </w:pPr>
      <w:r w:rsidRPr="009B3B7E">
        <w:rPr>
          <w:rFonts w:ascii="Calibri" w:hAnsi="Calibri"/>
        </w:rPr>
        <w:t xml:space="preserve">Aucune des informations enregistrées ne présente un caractère sensible. Lorsque les données seront saisies dans la base de données informatique, tous les noms seront supprimés ; chaque ménage sera uniquement identifié par son numéro d’identification. Seule la liste des ménages comprendra les coordonnées GPS et le nom du chef de famille. Cette liste prendra la forme d’un fichier électronique uniquement, qui sera conservé dans un lieu sécurisé, protégé par un mot de passe et accessible uniquement à l’IP et aux </w:t>
      </w:r>
      <w:proofErr w:type="spellStart"/>
      <w:r w:rsidRPr="009B3B7E">
        <w:rPr>
          <w:rFonts w:ascii="Calibri" w:hAnsi="Calibri"/>
        </w:rPr>
        <w:t>co</w:t>
      </w:r>
      <w:proofErr w:type="spellEnd"/>
      <w:r w:rsidRPr="009B3B7E">
        <w:rPr>
          <w:rFonts w:ascii="Calibri" w:hAnsi="Calibri"/>
        </w:rPr>
        <w:t>-investigateurs. Par ailleurs, cette base de données sera détruite à l’issue du dernier cycle d’évaluation. Tous les résultats de l’étude seront anonymes.</w:t>
      </w:r>
    </w:p>
    <w:p w14:paraId="02C38AAA" w14:textId="77777777" w:rsidR="00A94470" w:rsidRPr="009B3B7E" w:rsidRDefault="00A94470" w:rsidP="00A94470">
      <w:pPr>
        <w:pStyle w:val="Heading2"/>
      </w:pPr>
      <w:bookmarkStart w:id="98" w:name="_Toc305338834"/>
      <w:bookmarkStart w:id="99" w:name="_Toc465080758"/>
      <w:r w:rsidRPr="009B3B7E">
        <w:t>Conflit d’intérêts</w:t>
      </w:r>
      <w:bookmarkEnd w:id="98"/>
      <w:bookmarkEnd w:id="99"/>
    </w:p>
    <w:p w14:paraId="0223ED31" w14:textId="77777777" w:rsidR="006E6130" w:rsidRPr="009B3B7E" w:rsidRDefault="00A94470" w:rsidP="00A94470">
      <w:pPr>
        <w:rPr>
          <w:rFonts w:ascii="Calibri" w:hAnsi="Calibri"/>
        </w:rPr>
      </w:pPr>
      <w:r w:rsidRPr="009B3B7E">
        <w:rPr>
          <w:rFonts w:ascii="Calibri" w:hAnsi="Calibri"/>
        </w:rPr>
        <w:t>Cette étude ne présente aucun conflit d’intérêts potentiel.</w:t>
      </w:r>
    </w:p>
    <w:p w14:paraId="744ED106" w14:textId="77777777" w:rsidR="006E6130" w:rsidRPr="009B3B7E" w:rsidRDefault="00A94470" w:rsidP="00A94470">
      <w:pPr>
        <w:rPr>
          <w:rFonts w:ascii="Calibri" w:hAnsi="Calibri" w:cs="Arial"/>
        </w:rPr>
      </w:pPr>
      <w:r w:rsidRPr="009B3B7E">
        <w:rPr>
          <w:rFonts w:ascii="Calibri" w:hAnsi="Calibri"/>
        </w:rPr>
        <w:t>Sa qualité déontologique sera validée par un comité d’éthique local, ainsi que par le Comité d’éthique de (</w:t>
      </w:r>
      <w:commentRangeStart w:id="100"/>
      <w:r w:rsidRPr="009B3B7E">
        <w:rPr>
          <w:rFonts w:ascii="Calibri" w:hAnsi="Calibri"/>
          <w:i/>
        </w:rPr>
        <w:t>ajouter l’université ou l’établissement partenaire concerné</w:t>
      </w:r>
      <w:commentRangeEnd w:id="100"/>
      <w:r w:rsidRPr="009B3B7E">
        <w:rPr>
          <w:rStyle w:val="CommentReference"/>
        </w:rPr>
        <w:commentReference w:id="100"/>
      </w:r>
      <w:r w:rsidRPr="009B3B7E">
        <w:rPr>
          <w:rFonts w:ascii="Calibri" w:hAnsi="Calibri"/>
          <w:i/>
        </w:rPr>
        <w:t>)</w:t>
      </w:r>
      <w:r w:rsidRPr="009B3B7E">
        <w:rPr>
          <w:rFonts w:ascii="Calibri" w:hAnsi="Calibri"/>
        </w:rPr>
        <w:t>.</w:t>
      </w:r>
    </w:p>
    <w:p w14:paraId="3675FAEF" w14:textId="374F3270" w:rsidR="00854299" w:rsidRPr="009B3B7E" w:rsidRDefault="00854299" w:rsidP="00A94470">
      <w:pPr>
        <w:rPr>
          <w:rFonts w:ascii="Calibri" w:hAnsi="Calibri" w:cs="Arial"/>
        </w:rPr>
      </w:pPr>
    </w:p>
    <w:p w14:paraId="67287E9C" w14:textId="076014E5" w:rsidR="009B3B7E" w:rsidRDefault="009B3B7E">
      <w:pPr>
        <w:rPr>
          <w:rFonts w:ascii="Calibri" w:hAnsi="Calibri" w:cs="Arial"/>
        </w:rPr>
      </w:pPr>
      <w:r>
        <w:rPr>
          <w:rFonts w:ascii="Calibri" w:hAnsi="Calibri" w:cs="Arial"/>
        </w:rPr>
        <w:br w:type="page"/>
      </w:r>
    </w:p>
    <w:p w14:paraId="4D8D23A5" w14:textId="77777777" w:rsidR="00A94470" w:rsidRPr="009B3B7E" w:rsidRDefault="00A94470" w:rsidP="00A94470">
      <w:pPr>
        <w:pStyle w:val="Heading1"/>
      </w:pPr>
      <w:bookmarkStart w:id="101" w:name="_Toc305338835"/>
      <w:bookmarkStart w:id="102" w:name="_Toc465080759"/>
      <w:r w:rsidRPr="009B3B7E">
        <w:lastRenderedPageBreak/>
        <w:t>Mise en œuvre et calendrier</w:t>
      </w:r>
      <w:bookmarkEnd w:id="101"/>
      <w:bookmarkEnd w:id="102"/>
    </w:p>
    <w:p w14:paraId="3F72EA85" w14:textId="77777777" w:rsidR="001C26F5" w:rsidRPr="009B3B7E" w:rsidRDefault="001C26F5" w:rsidP="001C26F5">
      <w:pPr>
        <w:pStyle w:val="Heading2"/>
      </w:pPr>
      <w:bookmarkStart w:id="103" w:name="_Toc305338836"/>
      <w:bookmarkStart w:id="104" w:name="_Toc465080760"/>
      <w:r w:rsidRPr="009B3B7E">
        <w:t>Rôles et responsabilités</w:t>
      </w:r>
      <w:bookmarkEnd w:id="103"/>
      <w:bookmarkEnd w:id="104"/>
    </w:p>
    <w:p w14:paraId="369BB660" w14:textId="77777777" w:rsidR="00A94470" w:rsidRPr="009B3B7E" w:rsidRDefault="00A94470" w:rsidP="00A94470">
      <w:pPr>
        <w:rPr>
          <w:rFonts w:ascii="Calibri" w:hAnsi="Calibri" w:cs="Arial"/>
        </w:rPr>
      </w:pPr>
      <w:r w:rsidRPr="009B3B7E">
        <w:rPr>
          <w:rFonts w:ascii="Calibri" w:hAnsi="Calibri"/>
        </w:rPr>
        <w:t>La mise en œuvre de l’étude sera faite conjointement par tous les partenaires, à savoir :</w:t>
      </w:r>
    </w:p>
    <w:p w14:paraId="0EB05459" w14:textId="77777777" w:rsidR="00A94470" w:rsidRPr="009B3B7E" w:rsidRDefault="00A94470" w:rsidP="00A94470">
      <w:pPr>
        <w:numPr>
          <w:ilvl w:val="2"/>
          <w:numId w:val="10"/>
        </w:numPr>
        <w:rPr>
          <w:rFonts w:ascii="Calibri" w:hAnsi="Calibri" w:cs="Arial"/>
        </w:rPr>
      </w:pPr>
      <w:proofErr w:type="gramStart"/>
      <w:r w:rsidRPr="009B3B7E">
        <w:rPr>
          <w:rFonts w:ascii="Calibri" w:hAnsi="Calibri"/>
        </w:rPr>
        <w:t>les</w:t>
      </w:r>
      <w:proofErr w:type="gramEnd"/>
      <w:r w:rsidRPr="009B3B7E">
        <w:rPr>
          <w:rFonts w:ascii="Calibri" w:hAnsi="Calibri"/>
        </w:rPr>
        <w:t xml:space="preserve"> programmes nationaux et provinciaux de lutte contre le paludisme ;</w:t>
      </w:r>
    </w:p>
    <w:p w14:paraId="1DA09B26" w14:textId="77777777" w:rsidR="00A94470" w:rsidRPr="009B3B7E" w:rsidRDefault="0024667E" w:rsidP="00A94470">
      <w:pPr>
        <w:numPr>
          <w:ilvl w:val="2"/>
          <w:numId w:val="10"/>
        </w:numPr>
        <w:rPr>
          <w:rFonts w:ascii="Calibri" w:hAnsi="Calibri" w:cs="Arial"/>
        </w:rPr>
      </w:pPr>
      <w:commentRangeStart w:id="105"/>
      <w:r w:rsidRPr="009B3B7E">
        <w:rPr>
          <w:rFonts w:ascii="Calibri" w:hAnsi="Calibri"/>
        </w:rPr>
        <w:t>(</w:t>
      </w:r>
      <w:proofErr w:type="gramStart"/>
      <w:r w:rsidRPr="009B3B7E">
        <w:rPr>
          <w:rFonts w:ascii="Calibri" w:hAnsi="Calibri"/>
          <w:i/>
        </w:rPr>
        <w:t>partenaire</w:t>
      </w:r>
      <w:proofErr w:type="gramEnd"/>
      <w:r w:rsidRPr="009B3B7E">
        <w:rPr>
          <w:rFonts w:ascii="Calibri" w:hAnsi="Calibri"/>
          <w:i/>
        </w:rPr>
        <w:t xml:space="preserve"> de mise en œuvre local</w:t>
      </w:r>
      <w:r w:rsidRPr="009B3B7E">
        <w:rPr>
          <w:rFonts w:ascii="Calibri" w:hAnsi="Calibri"/>
        </w:rPr>
        <w:t>) ;</w:t>
      </w:r>
    </w:p>
    <w:p w14:paraId="356CB8DA" w14:textId="77777777" w:rsidR="00A94470" w:rsidRPr="009B3B7E" w:rsidRDefault="0024667E" w:rsidP="00A94470">
      <w:pPr>
        <w:numPr>
          <w:ilvl w:val="2"/>
          <w:numId w:val="10"/>
        </w:numPr>
        <w:rPr>
          <w:rFonts w:ascii="Calibri" w:hAnsi="Calibri" w:cs="Arial"/>
        </w:rPr>
      </w:pPr>
      <w:r w:rsidRPr="009B3B7E">
        <w:rPr>
          <w:rFonts w:ascii="Calibri" w:hAnsi="Calibri"/>
        </w:rPr>
        <w:t>(</w:t>
      </w:r>
      <w:proofErr w:type="gramStart"/>
      <w:r w:rsidRPr="009B3B7E">
        <w:rPr>
          <w:rFonts w:ascii="Calibri" w:hAnsi="Calibri"/>
          <w:i/>
        </w:rPr>
        <w:t>projet</w:t>
      </w:r>
      <w:proofErr w:type="gramEnd"/>
      <w:r w:rsidRPr="009B3B7E">
        <w:rPr>
          <w:rFonts w:ascii="Calibri" w:hAnsi="Calibri"/>
          <w:i/>
        </w:rPr>
        <w:t xml:space="preserve"> via lequel la PMI fournit des fonds et de l’assistance</w:t>
      </w:r>
      <w:r w:rsidRPr="009B3B7E">
        <w:rPr>
          <w:rFonts w:ascii="Calibri" w:hAnsi="Calibri"/>
        </w:rPr>
        <w:t>).</w:t>
      </w:r>
      <w:commentRangeEnd w:id="105"/>
      <w:r w:rsidRPr="009B3B7E">
        <w:rPr>
          <w:rStyle w:val="CommentReference"/>
        </w:rPr>
        <w:commentReference w:id="105"/>
      </w:r>
    </w:p>
    <w:p w14:paraId="39C67CBC" w14:textId="77777777" w:rsidR="00A94470" w:rsidRPr="009B3B7E" w:rsidRDefault="00A94470" w:rsidP="00A94470">
      <w:pPr>
        <w:rPr>
          <w:rFonts w:ascii="Calibri" w:hAnsi="Calibri" w:cs="Arial"/>
        </w:rPr>
      </w:pPr>
      <w:r w:rsidRPr="009B3B7E">
        <w:rPr>
          <w:rFonts w:ascii="Calibri" w:hAnsi="Calibri"/>
        </w:rPr>
        <w:t>Tous les partenaires contribueront à la préparation du questionnaire et des outils ; (</w:t>
      </w:r>
      <w:commentRangeStart w:id="106"/>
      <w:r w:rsidRPr="009B3B7E">
        <w:rPr>
          <w:rFonts w:ascii="Calibri" w:hAnsi="Calibri"/>
          <w:i/>
        </w:rPr>
        <w:t>nom du projet</w:t>
      </w:r>
      <w:commentRangeEnd w:id="106"/>
      <w:r w:rsidRPr="009B3B7E">
        <w:rPr>
          <w:rStyle w:val="CommentReference"/>
        </w:rPr>
        <w:commentReference w:id="106"/>
      </w:r>
      <w:r w:rsidRPr="009B3B7E">
        <w:rPr>
          <w:rFonts w:ascii="Calibri" w:hAnsi="Calibri"/>
          <w:i/>
        </w:rPr>
        <w:t xml:space="preserve">) </w:t>
      </w:r>
      <w:r w:rsidRPr="009B3B7E">
        <w:rPr>
          <w:rFonts w:ascii="Calibri" w:hAnsi="Calibri"/>
        </w:rPr>
        <w:t>sera chargé, avec l’assistance technique des autres partenaires, de tous les aspects concernant le travail sur le terrain, ainsi que la saisie, la gestion et le nettoyage des données.</w:t>
      </w:r>
    </w:p>
    <w:p w14:paraId="0EAC1D61" w14:textId="77777777" w:rsidR="001C26F5" w:rsidRPr="009B3B7E" w:rsidRDefault="001C26F5" w:rsidP="001C26F5">
      <w:pPr>
        <w:pStyle w:val="Heading2"/>
      </w:pPr>
      <w:bookmarkStart w:id="107" w:name="_Toc305338837"/>
      <w:bookmarkStart w:id="108" w:name="_Toc465080761"/>
      <w:r w:rsidRPr="009B3B7E">
        <w:t>Calendrier</w:t>
      </w:r>
      <w:bookmarkEnd w:id="107"/>
      <w:bookmarkEnd w:id="108"/>
    </w:p>
    <w:p w14:paraId="7BEFC6FC" w14:textId="4C2B6B3C" w:rsidR="00A94470" w:rsidRPr="009B3B7E" w:rsidRDefault="00A94470" w:rsidP="00A94470">
      <w:pPr>
        <w:rPr>
          <w:rFonts w:ascii="Calibri" w:hAnsi="Calibri" w:cs="Arial"/>
        </w:rPr>
      </w:pPr>
      <w:r w:rsidRPr="009B3B7E">
        <w:rPr>
          <w:rFonts w:ascii="Calibri" w:hAnsi="Calibri"/>
        </w:rPr>
        <w:t xml:space="preserve">Calendrier prévu pour le premier cycle d’enquêtes en </w:t>
      </w:r>
      <w:commentRangeStart w:id="109"/>
      <w:r w:rsidRPr="009B3B7E">
        <w:rPr>
          <w:rFonts w:ascii="Calibri" w:hAnsi="Calibri"/>
        </w:rPr>
        <w:t>[ANNÉE] :</w:t>
      </w:r>
      <w:commentRangeEnd w:id="109"/>
      <w:r w:rsidRPr="009B3B7E">
        <w:rPr>
          <w:rStyle w:val="CommentReference"/>
        </w:rPr>
        <w:commentReference w:id="109"/>
      </w:r>
    </w:p>
    <w:tbl>
      <w:tblPr>
        <w:tblW w:w="9782" w:type="dxa"/>
        <w:tblInd w:w="-318" w:type="dxa"/>
        <w:tblLook w:val="0000" w:firstRow="0" w:lastRow="0" w:firstColumn="0" w:lastColumn="0" w:noHBand="0" w:noVBand="0"/>
      </w:tblPr>
      <w:tblGrid>
        <w:gridCol w:w="2446"/>
        <w:gridCol w:w="350"/>
        <w:gridCol w:w="350"/>
        <w:gridCol w:w="350"/>
        <w:gridCol w:w="350"/>
        <w:gridCol w:w="350"/>
        <w:gridCol w:w="350"/>
        <w:gridCol w:w="372"/>
        <w:gridCol w:w="372"/>
        <w:gridCol w:w="428"/>
        <w:gridCol w:w="372"/>
        <w:gridCol w:w="372"/>
        <w:gridCol w:w="372"/>
        <w:gridCol w:w="388"/>
        <w:gridCol w:w="372"/>
        <w:gridCol w:w="372"/>
        <w:gridCol w:w="372"/>
        <w:gridCol w:w="372"/>
        <w:gridCol w:w="372"/>
        <w:gridCol w:w="350"/>
        <w:gridCol w:w="350"/>
      </w:tblGrid>
      <w:tr w:rsidR="00A94470" w:rsidRPr="009B3B7E" w14:paraId="718F9D04" w14:textId="77777777" w:rsidTr="009B3B7E">
        <w:trPr>
          <w:trHeight w:val="255"/>
        </w:trPr>
        <w:tc>
          <w:tcPr>
            <w:tcW w:w="2446" w:type="dxa"/>
            <w:tcBorders>
              <w:top w:val="single" w:sz="8" w:space="0" w:color="auto"/>
              <w:left w:val="single" w:sz="8" w:space="0" w:color="auto"/>
              <w:bottom w:val="single" w:sz="4" w:space="0" w:color="auto"/>
              <w:right w:val="nil"/>
            </w:tcBorders>
            <w:shd w:val="clear" w:color="auto" w:fill="FFFF99"/>
            <w:vAlign w:val="bottom"/>
          </w:tcPr>
          <w:p w14:paraId="38B1ACF4" w14:textId="77777777" w:rsidR="00A94470" w:rsidRPr="009B3B7E" w:rsidRDefault="00A94470" w:rsidP="00096D72">
            <w:pPr>
              <w:rPr>
                <w:rFonts w:ascii="Arial" w:hAnsi="Arial" w:cs="Arial"/>
                <w:b/>
                <w:bCs/>
              </w:rPr>
            </w:pPr>
            <w:r w:rsidRPr="009B3B7E">
              <w:rPr>
                <w:rFonts w:ascii="Arial" w:hAnsi="Arial"/>
                <w:b/>
              </w:rPr>
              <w:t> </w:t>
            </w:r>
          </w:p>
        </w:tc>
        <w:tc>
          <w:tcPr>
            <w:tcW w:w="1400" w:type="dxa"/>
            <w:gridSpan w:val="4"/>
            <w:tcBorders>
              <w:top w:val="single" w:sz="8" w:space="0" w:color="auto"/>
              <w:left w:val="single" w:sz="8" w:space="0" w:color="auto"/>
              <w:bottom w:val="single" w:sz="4" w:space="0" w:color="auto"/>
              <w:right w:val="single" w:sz="8" w:space="0" w:color="000000"/>
            </w:tcBorders>
            <w:shd w:val="clear" w:color="auto" w:fill="FFFF99"/>
            <w:noWrap/>
            <w:vAlign w:val="bottom"/>
          </w:tcPr>
          <w:p w14:paraId="1344ECC7" w14:textId="77777777" w:rsidR="00A94470" w:rsidRPr="009B3B7E" w:rsidRDefault="00115C20" w:rsidP="00096D72">
            <w:pPr>
              <w:jc w:val="center"/>
              <w:rPr>
                <w:rFonts w:ascii="Arial" w:hAnsi="Arial" w:cs="Arial"/>
                <w:b/>
                <w:bCs/>
              </w:rPr>
            </w:pPr>
            <w:r w:rsidRPr="009B3B7E">
              <w:rPr>
                <w:rFonts w:ascii="Arial" w:hAnsi="Arial"/>
                <w:b/>
              </w:rPr>
              <w:t>Mois 1</w:t>
            </w:r>
          </w:p>
        </w:tc>
        <w:tc>
          <w:tcPr>
            <w:tcW w:w="1444" w:type="dxa"/>
            <w:gridSpan w:val="4"/>
            <w:tcBorders>
              <w:top w:val="single" w:sz="8" w:space="0" w:color="auto"/>
              <w:left w:val="nil"/>
              <w:bottom w:val="single" w:sz="4" w:space="0" w:color="auto"/>
              <w:right w:val="single" w:sz="8" w:space="0" w:color="000000"/>
            </w:tcBorders>
            <w:shd w:val="clear" w:color="auto" w:fill="FFFF99"/>
            <w:noWrap/>
            <w:vAlign w:val="bottom"/>
          </w:tcPr>
          <w:p w14:paraId="563C437E" w14:textId="77777777" w:rsidR="00A94470" w:rsidRPr="009B3B7E" w:rsidRDefault="00115C20" w:rsidP="00096D72">
            <w:pPr>
              <w:jc w:val="center"/>
              <w:rPr>
                <w:rFonts w:ascii="Arial" w:hAnsi="Arial" w:cs="Arial"/>
                <w:b/>
                <w:bCs/>
              </w:rPr>
            </w:pPr>
            <w:r w:rsidRPr="009B3B7E">
              <w:rPr>
                <w:rFonts w:ascii="Arial" w:hAnsi="Arial"/>
                <w:b/>
              </w:rPr>
              <w:t>Mois 2</w:t>
            </w:r>
          </w:p>
        </w:tc>
        <w:tc>
          <w:tcPr>
            <w:tcW w:w="1544" w:type="dxa"/>
            <w:gridSpan w:val="4"/>
            <w:tcBorders>
              <w:top w:val="single" w:sz="8" w:space="0" w:color="auto"/>
              <w:left w:val="nil"/>
              <w:bottom w:val="single" w:sz="4" w:space="0" w:color="auto"/>
              <w:right w:val="single" w:sz="8" w:space="0" w:color="000000"/>
            </w:tcBorders>
            <w:shd w:val="clear" w:color="auto" w:fill="FFFF99"/>
            <w:noWrap/>
            <w:vAlign w:val="bottom"/>
          </w:tcPr>
          <w:p w14:paraId="60F61143" w14:textId="77777777" w:rsidR="00A94470" w:rsidRPr="009B3B7E" w:rsidRDefault="00115C20" w:rsidP="00096D72">
            <w:pPr>
              <w:jc w:val="center"/>
              <w:rPr>
                <w:rFonts w:ascii="Arial" w:hAnsi="Arial" w:cs="Arial"/>
                <w:b/>
                <w:bCs/>
              </w:rPr>
            </w:pPr>
            <w:r w:rsidRPr="009B3B7E">
              <w:rPr>
                <w:rFonts w:ascii="Arial" w:hAnsi="Arial"/>
                <w:b/>
              </w:rPr>
              <w:t>Mois 3</w:t>
            </w:r>
          </w:p>
        </w:tc>
        <w:tc>
          <w:tcPr>
            <w:tcW w:w="1504" w:type="dxa"/>
            <w:gridSpan w:val="4"/>
            <w:tcBorders>
              <w:top w:val="single" w:sz="8" w:space="0" w:color="auto"/>
              <w:left w:val="nil"/>
              <w:bottom w:val="single" w:sz="4" w:space="0" w:color="auto"/>
              <w:right w:val="single" w:sz="8" w:space="0" w:color="000000"/>
            </w:tcBorders>
            <w:shd w:val="clear" w:color="auto" w:fill="FFFF99"/>
            <w:noWrap/>
            <w:vAlign w:val="bottom"/>
          </w:tcPr>
          <w:p w14:paraId="5B012509" w14:textId="77777777" w:rsidR="00A94470" w:rsidRPr="009B3B7E" w:rsidRDefault="00115C20" w:rsidP="00096D72">
            <w:pPr>
              <w:jc w:val="center"/>
              <w:rPr>
                <w:rFonts w:ascii="Arial" w:hAnsi="Arial" w:cs="Arial"/>
                <w:b/>
                <w:bCs/>
              </w:rPr>
            </w:pPr>
            <w:r w:rsidRPr="009B3B7E">
              <w:rPr>
                <w:rFonts w:ascii="Arial" w:hAnsi="Arial"/>
                <w:b/>
              </w:rPr>
              <w:t>Mois 4</w:t>
            </w:r>
          </w:p>
        </w:tc>
        <w:tc>
          <w:tcPr>
            <w:tcW w:w="1444" w:type="dxa"/>
            <w:gridSpan w:val="4"/>
            <w:tcBorders>
              <w:top w:val="single" w:sz="8" w:space="0" w:color="auto"/>
              <w:left w:val="nil"/>
              <w:bottom w:val="single" w:sz="4" w:space="0" w:color="auto"/>
              <w:right w:val="single" w:sz="8" w:space="0" w:color="000000"/>
            </w:tcBorders>
            <w:shd w:val="clear" w:color="auto" w:fill="FFFF99"/>
            <w:noWrap/>
            <w:vAlign w:val="bottom"/>
          </w:tcPr>
          <w:p w14:paraId="55F6A11C" w14:textId="77777777" w:rsidR="00A94470" w:rsidRPr="009B3B7E" w:rsidRDefault="00115C20" w:rsidP="00096D72">
            <w:pPr>
              <w:jc w:val="center"/>
              <w:rPr>
                <w:rFonts w:ascii="Arial" w:hAnsi="Arial" w:cs="Arial"/>
                <w:b/>
                <w:bCs/>
              </w:rPr>
            </w:pPr>
            <w:r w:rsidRPr="009B3B7E">
              <w:rPr>
                <w:rFonts w:ascii="Arial" w:hAnsi="Arial"/>
                <w:b/>
              </w:rPr>
              <w:t>Mois 5</w:t>
            </w:r>
          </w:p>
        </w:tc>
      </w:tr>
      <w:tr w:rsidR="00A94470" w:rsidRPr="009B3B7E" w14:paraId="3E937C11" w14:textId="77777777" w:rsidTr="009B3B7E">
        <w:trPr>
          <w:trHeight w:val="270"/>
        </w:trPr>
        <w:tc>
          <w:tcPr>
            <w:tcW w:w="2446" w:type="dxa"/>
            <w:tcBorders>
              <w:top w:val="nil"/>
              <w:left w:val="single" w:sz="8" w:space="0" w:color="auto"/>
              <w:bottom w:val="single" w:sz="8" w:space="0" w:color="auto"/>
              <w:right w:val="nil"/>
            </w:tcBorders>
            <w:shd w:val="clear" w:color="auto" w:fill="FFFF99"/>
            <w:vAlign w:val="bottom"/>
          </w:tcPr>
          <w:p w14:paraId="2D87873C" w14:textId="77777777" w:rsidR="00A94470" w:rsidRPr="009B3B7E" w:rsidRDefault="00A94470" w:rsidP="00096D72">
            <w:pPr>
              <w:rPr>
                <w:rFonts w:ascii="Arial" w:hAnsi="Arial" w:cs="Arial"/>
                <w:b/>
                <w:bCs/>
                <w:sz w:val="20"/>
                <w:szCs w:val="20"/>
              </w:rPr>
            </w:pPr>
            <w:r w:rsidRPr="009B3B7E">
              <w:rPr>
                <w:rFonts w:ascii="Arial" w:hAnsi="Arial"/>
                <w:b/>
                <w:sz w:val="20"/>
              </w:rPr>
              <w:t>Activité</w:t>
            </w:r>
          </w:p>
        </w:tc>
        <w:tc>
          <w:tcPr>
            <w:tcW w:w="350" w:type="dxa"/>
            <w:tcBorders>
              <w:top w:val="nil"/>
              <w:left w:val="single" w:sz="8" w:space="0" w:color="auto"/>
              <w:bottom w:val="single" w:sz="8" w:space="0" w:color="auto"/>
              <w:right w:val="single" w:sz="4" w:space="0" w:color="auto"/>
            </w:tcBorders>
            <w:shd w:val="clear" w:color="auto" w:fill="FFFF99"/>
            <w:noWrap/>
            <w:vAlign w:val="bottom"/>
          </w:tcPr>
          <w:p w14:paraId="435BC81D" w14:textId="77777777" w:rsidR="00A94470" w:rsidRPr="009B3B7E" w:rsidRDefault="00A94470" w:rsidP="00096D72">
            <w:pPr>
              <w:jc w:val="right"/>
              <w:rPr>
                <w:rFonts w:ascii="Arial" w:hAnsi="Arial" w:cs="Arial"/>
                <w:b/>
                <w:bCs/>
              </w:rPr>
            </w:pPr>
            <w:r w:rsidRPr="009B3B7E">
              <w:rPr>
                <w:rFonts w:ascii="Arial" w:hAnsi="Arial"/>
                <w:b/>
              </w:rPr>
              <w:t>1</w:t>
            </w:r>
          </w:p>
        </w:tc>
        <w:tc>
          <w:tcPr>
            <w:tcW w:w="350" w:type="dxa"/>
            <w:tcBorders>
              <w:top w:val="nil"/>
              <w:left w:val="nil"/>
              <w:bottom w:val="single" w:sz="8" w:space="0" w:color="auto"/>
              <w:right w:val="single" w:sz="4" w:space="0" w:color="auto"/>
            </w:tcBorders>
            <w:shd w:val="clear" w:color="auto" w:fill="FFFF99"/>
            <w:noWrap/>
            <w:vAlign w:val="bottom"/>
          </w:tcPr>
          <w:p w14:paraId="3318C6AB" w14:textId="77777777" w:rsidR="00A94470" w:rsidRPr="009B3B7E" w:rsidRDefault="00A94470" w:rsidP="00096D72">
            <w:pPr>
              <w:jc w:val="right"/>
              <w:rPr>
                <w:rFonts w:ascii="Arial" w:hAnsi="Arial" w:cs="Arial"/>
                <w:b/>
                <w:bCs/>
              </w:rPr>
            </w:pPr>
            <w:r w:rsidRPr="009B3B7E">
              <w:rPr>
                <w:rFonts w:ascii="Arial" w:hAnsi="Arial"/>
                <w:b/>
              </w:rPr>
              <w:t>2</w:t>
            </w:r>
          </w:p>
        </w:tc>
        <w:tc>
          <w:tcPr>
            <w:tcW w:w="350" w:type="dxa"/>
            <w:tcBorders>
              <w:top w:val="nil"/>
              <w:left w:val="nil"/>
              <w:bottom w:val="single" w:sz="8" w:space="0" w:color="auto"/>
              <w:right w:val="single" w:sz="4" w:space="0" w:color="auto"/>
            </w:tcBorders>
            <w:shd w:val="clear" w:color="auto" w:fill="FFFF99"/>
            <w:noWrap/>
            <w:vAlign w:val="bottom"/>
          </w:tcPr>
          <w:p w14:paraId="588A688F" w14:textId="77777777" w:rsidR="00A94470" w:rsidRPr="009B3B7E" w:rsidRDefault="00A94470" w:rsidP="00096D72">
            <w:pPr>
              <w:jc w:val="right"/>
              <w:rPr>
                <w:rFonts w:ascii="Arial" w:hAnsi="Arial" w:cs="Arial"/>
                <w:b/>
                <w:bCs/>
              </w:rPr>
            </w:pPr>
            <w:r w:rsidRPr="009B3B7E">
              <w:rPr>
                <w:rFonts w:ascii="Arial" w:hAnsi="Arial"/>
                <w:b/>
              </w:rPr>
              <w:t>3</w:t>
            </w:r>
          </w:p>
        </w:tc>
        <w:tc>
          <w:tcPr>
            <w:tcW w:w="350" w:type="dxa"/>
            <w:tcBorders>
              <w:top w:val="nil"/>
              <w:left w:val="nil"/>
              <w:bottom w:val="single" w:sz="8" w:space="0" w:color="auto"/>
              <w:right w:val="single" w:sz="8" w:space="0" w:color="auto"/>
            </w:tcBorders>
            <w:shd w:val="clear" w:color="auto" w:fill="FFFF99"/>
            <w:noWrap/>
            <w:vAlign w:val="bottom"/>
          </w:tcPr>
          <w:p w14:paraId="50DA1901" w14:textId="77777777" w:rsidR="00A94470" w:rsidRPr="009B3B7E" w:rsidRDefault="00A94470" w:rsidP="00096D72">
            <w:pPr>
              <w:jc w:val="right"/>
              <w:rPr>
                <w:rFonts w:ascii="Arial" w:hAnsi="Arial" w:cs="Arial"/>
                <w:b/>
                <w:bCs/>
              </w:rPr>
            </w:pPr>
            <w:r w:rsidRPr="009B3B7E">
              <w:rPr>
                <w:rFonts w:ascii="Arial" w:hAnsi="Arial"/>
                <w:b/>
              </w:rPr>
              <w:t>4</w:t>
            </w:r>
          </w:p>
        </w:tc>
        <w:tc>
          <w:tcPr>
            <w:tcW w:w="350" w:type="dxa"/>
            <w:tcBorders>
              <w:top w:val="nil"/>
              <w:left w:val="nil"/>
              <w:bottom w:val="single" w:sz="8" w:space="0" w:color="auto"/>
              <w:right w:val="single" w:sz="4" w:space="0" w:color="auto"/>
            </w:tcBorders>
            <w:shd w:val="clear" w:color="auto" w:fill="FFFF99"/>
            <w:noWrap/>
            <w:vAlign w:val="bottom"/>
          </w:tcPr>
          <w:p w14:paraId="59FE1A25" w14:textId="77777777" w:rsidR="00A94470" w:rsidRPr="009B3B7E" w:rsidRDefault="00A94470" w:rsidP="00096D72">
            <w:pPr>
              <w:jc w:val="right"/>
              <w:rPr>
                <w:rFonts w:ascii="Arial" w:hAnsi="Arial" w:cs="Arial"/>
                <w:b/>
                <w:bCs/>
              </w:rPr>
            </w:pPr>
            <w:r w:rsidRPr="009B3B7E">
              <w:rPr>
                <w:rFonts w:ascii="Arial" w:hAnsi="Arial"/>
                <w:b/>
              </w:rPr>
              <w:t>1</w:t>
            </w:r>
          </w:p>
        </w:tc>
        <w:tc>
          <w:tcPr>
            <w:tcW w:w="350" w:type="dxa"/>
            <w:tcBorders>
              <w:top w:val="nil"/>
              <w:left w:val="nil"/>
              <w:bottom w:val="single" w:sz="8" w:space="0" w:color="auto"/>
              <w:right w:val="single" w:sz="4" w:space="0" w:color="auto"/>
            </w:tcBorders>
            <w:shd w:val="clear" w:color="auto" w:fill="FFFF99"/>
            <w:noWrap/>
            <w:vAlign w:val="bottom"/>
          </w:tcPr>
          <w:p w14:paraId="043DF508" w14:textId="77777777" w:rsidR="00A94470" w:rsidRPr="009B3B7E" w:rsidRDefault="00A94470" w:rsidP="00096D72">
            <w:pPr>
              <w:jc w:val="right"/>
              <w:rPr>
                <w:rFonts w:ascii="Arial" w:hAnsi="Arial" w:cs="Arial"/>
                <w:b/>
                <w:bCs/>
              </w:rPr>
            </w:pPr>
            <w:r w:rsidRPr="009B3B7E">
              <w:rPr>
                <w:rFonts w:ascii="Arial" w:hAnsi="Arial"/>
                <w:b/>
              </w:rPr>
              <w:t>2</w:t>
            </w:r>
          </w:p>
        </w:tc>
        <w:tc>
          <w:tcPr>
            <w:tcW w:w="372" w:type="dxa"/>
            <w:tcBorders>
              <w:top w:val="nil"/>
              <w:left w:val="nil"/>
              <w:bottom w:val="single" w:sz="8" w:space="0" w:color="auto"/>
              <w:right w:val="single" w:sz="4" w:space="0" w:color="auto"/>
            </w:tcBorders>
            <w:shd w:val="clear" w:color="auto" w:fill="FFFF99"/>
            <w:noWrap/>
            <w:vAlign w:val="bottom"/>
          </w:tcPr>
          <w:p w14:paraId="57EDE37C" w14:textId="77777777" w:rsidR="00A94470" w:rsidRPr="009B3B7E" w:rsidRDefault="00A94470" w:rsidP="00096D72">
            <w:pPr>
              <w:jc w:val="right"/>
              <w:rPr>
                <w:rFonts w:ascii="Arial" w:hAnsi="Arial" w:cs="Arial"/>
                <w:b/>
                <w:bCs/>
              </w:rPr>
            </w:pPr>
            <w:r w:rsidRPr="009B3B7E">
              <w:rPr>
                <w:rFonts w:ascii="Arial" w:hAnsi="Arial"/>
                <w:b/>
              </w:rPr>
              <w:t>3</w:t>
            </w:r>
          </w:p>
        </w:tc>
        <w:tc>
          <w:tcPr>
            <w:tcW w:w="372" w:type="dxa"/>
            <w:tcBorders>
              <w:top w:val="nil"/>
              <w:left w:val="nil"/>
              <w:bottom w:val="single" w:sz="8" w:space="0" w:color="auto"/>
              <w:right w:val="single" w:sz="8" w:space="0" w:color="auto"/>
            </w:tcBorders>
            <w:shd w:val="clear" w:color="auto" w:fill="FFFF99"/>
            <w:noWrap/>
            <w:vAlign w:val="bottom"/>
          </w:tcPr>
          <w:p w14:paraId="5C3CF2FF" w14:textId="77777777" w:rsidR="00A94470" w:rsidRPr="009B3B7E" w:rsidRDefault="00A94470" w:rsidP="00096D72">
            <w:pPr>
              <w:jc w:val="right"/>
              <w:rPr>
                <w:rFonts w:ascii="Arial" w:hAnsi="Arial" w:cs="Arial"/>
                <w:b/>
                <w:bCs/>
              </w:rPr>
            </w:pPr>
            <w:r w:rsidRPr="009B3B7E">
              <w:rPr>
                <w:rFonts w:ascii="Arial" w:hAnsi="Arial"/>
                <w:b/>
              </w:rPr>
              <w:t>4</w:t>
            </w:r>
          </w:p>
        </w:tc>
        <w:tc>
          <w:tcPr>
            <w:tcW w:w="428" w:type="dxa"/>
            <w:tcBorders>
              <w:top w:val="nil"/>
              <w:left w:val="nil"/>
              <w:bottom w:val="single" w:sz="8" w:space="0" w:color="auto"/>
              <w:right w:val="single" w:sz="4" w:space="0" w:color="auto"/>
            </w:tcBorders>
            <w:shd w:val="clear" w:color="auto" w:fill="FFFF99"/>
            <w:noWrap/>
            <w:vAlign w:val="bottom"/>
          </w:tcPr>
          <w:p w14:paraId="29431082" w14:textId="77777777" w:rsidR="00A94470" w:rsidRPr="009B3B7E" w:rsidRDefault="00A94470" w:rsidP="00096D72">
            <w:pPr>
              <w:jc w:val="right"/>
              <w:rPr>
                <w:rFonts w:ascii="Arial" w:hAnsi="Arial" w:cs="Arial"/>
                <w:b/>
                <w:bCs/>
              </w:rPr>
            </w:pPr>
            <w:r w:rsidRPr="009B3B7E">
              <w:rPr>
                <w:rFonts w:ascii="Arial" w:hAnsi="Arial"/>
                <w:b/>
              </w:rPr>
              <w:t>1</w:t>
            </w:r>
          </w:p>
        </w:tc>
        <w:tc>
          <w:tcPr>
            <w:tcW w:w="372" w:type="dxa"/>
            <w:tcBorders>
              <w:top w:val="nil"/>
              <w:left w:val="nil"/>
              <w:bottom w:val="single" w:sz="8" w:space="0" w:color="auto"/>
              <w:right w:val="single" w:sz="4" w:space="0" w:color="auto"/>
            </w:tcBorders>
            <w:shd w:val="clear" w:color="auto" w:fill="FFFF99"/>
            <w:noWrap/>
            <w:vAlign w:val="bottom"/>
          </w:tcPr>
          <w:p w14:paraId="0CDD05F9" w14:textId="77777777" w:rsidR="00A94470" w:rsidRPr="009B3B7E" w:rsidRDefault="00A94470" w:rsidP="00096D72">
            <w:pPr>
              <w:jc w:val="right"/>
              <w:rPr>
                <w:rFonts w:ascii="Arial" w:hAnsi="Arial" w:cs="Arial"/>
                <w:b/>
                <w:bCs/>
              </w:rPr>
            </w:pPr>
            <w:r w:rsidRPr="009B3B7E">
              <w:rPr>
                <w:rFonts w:ascii="Arial" w:hAnsi="Arial"/>
                <w:b/>
              </w:rPr>
              <w:t>2</w:t>
            </w:r>
          </w:p>
        </w:tc>
        <w:tc>
          <w:tcPr>
            <w:tcW w:w="372" w:type="dxa"/>
            <w:tcBorders>
              <w:top w:val="nil"/>
              <w:left w:val="nil"/>
              <w:bottom w:val="single" w:sz="8" w:space="0" w:color="auto"/>
              <w:right w:val="single" w:sz="4" w:space="0" w:color="auto"/>
            </w:tcBorders>
            <w:shd w:val="clear" w:color="auto" w:fill="FFFF99"/>
            <w:noWrap/>
            <w:vAlign w:val="bottom"/>
          </w:tcPr>
          <w:p w14:paraId="163AE485" w14:textId="77777777" w:rsidR="00A94470" w:rsidRPr="009B3B7E" w:rsidRDefault="00A94470" w:rsidP="00096D72">
            <w:pPr>
              <w:jc w:val="right"/>
              <w:rPr>
                <w:rFonts w:ascii="Arial" w:hAnsi="Arial" w:cs="Arial"/>
                <w:b/>
                <w:bCs/>
              </w:rPr>
            </w:pPr>
            <w:r w:rsidRPr="009B3B7E">
              <w:rPr>
                <w:rFonts w:ascii="Arial" w:hAnsi="Arial"/>
                <w:b/>
              </w:rPr>
              <w:t>3</w:t>
            </w:r>
          </w:p>
        </w:tc>
        <w:tc>
          <w:tcPr>
            <w:tcW w:w="372" w:type="dxa"/>
            <w:tcBorders>
              <w:top w:val="nil"/>
              <w:left w:val="nil"/>
              <w:bottom w:val="single" w:sz="8" w:space="0" w:color="auto"/>
              <w:right w:val="single" w:sz="8" w:space="0" w:color="auto"/>
            </w:tcBorders>
            <w:shd w:val="clear" w:color="auto" w:fill="FFFF99"/>
            <w:noWrap/>
            <w:vAlign w:val="bottom"/>
          </w:tcPr>
          <w:p w14:paraId="6C5D8B98" w14:textId="77777777" w:rsidR="00A94470" w:rsidRPr="009B3B7E" w:rsidRDefault="00A94470" w:rsidP="00096D72">
            <w:pPr>
              <w:jc w:val="right"/>
              <w:rPr>
                <w:rFonts w:ascii="Arial" w:hAnsi="Arial" w:cs="Arial"/>
                <w:b/>
                <w:bCs/>
              </w:rPr>
            </w:pPr>
            <w:r w:rsidRPr="009B3B7E">
              <w:rPr>
                <w:rFonts w:ascii="Arial" w:hAnsi="Arial"/>
                <w:b/>
              </w:rPr>
              <w:t>4</w:t>
            </w:r>
          </w:p>
        </w:tc>
        <w:tc>
          <w:tcPr>
            <w:tcW w:w="388" w:type="dxa"/>
            <w:tcBorders>
              <w:top w:val="nil"/>
              <w:left w:val="nil"/>
              <w:bottom w:val="single" w:sz="8" w:space="0" w:color="auto"/>
              <w:right w:val="single" w:sz="4" w:space="0" w:color="auto"/>
            </w:tcBorders>
            <w:shd w:val="clear" w:color="auto" w:fill="FFFF99"/>
            <w:noWrap/>
            <w:vAlign w:val="bottom"/>
          </w:tcPr>
          <w:p w14:paraId="5BC138C8" w14:textId="77777777" w:rsidR="00A94470" w:rsidRPr="009B3B7E" w:rsidRDefault="00A94470" w:rsidP="00096D72">
            <w:pPr>
              <w:jc w:val="right"/>
              <w:rPr>
                <w:rFonts w:ascii="Arial" w:hAnsi="Arial" w:cs="Arial"/>
                <w:b/>
                <w:bCs/>
              </w:rPr>
            </w:pPr>
            <w:r w:rsidRPr="009B3B7E">
              <w:rPr>
                <w:rFonts w:ascii="Arial" w:hAnsi="Arial"/>
                <w:b/>
              </w:rPr>
              <w:t>1</w:t>
            </w:r>
          </w:p>
        </w:tc>
        <w:tc>
          <w:tcPr>
            <w:tcW w:w="372" w:type="dxa"/>
            <w:tcBorders>
              <w:top w:val="nil"/>
              <w:left w:val="nil"/>
              <w:bottom w:val="single" w:sz="8" w:space="0" w:color="auto"/>
              <w:right w:val="single" w:sz="4" w:space="0" w:color="auto"/>
            </w:tcBorders>
            <w:shd w:val="clear" w:color="auto" w:fill="FFFF99"/>
            <w:noWrap/>
            <w:vAlign w:val="bottom"/>
          </w:tcPr>
          <w:p w14:paraId="1EAC4685" w14:textId="77777777" w:rsidR="00A94470" w:rsidRPr="009B3B7E" w:rsidRDefault="00A94470" w:rsidP="00096D72">
            <w:pPr>
              <w:jc w:val="right"/>
              <w:rPr>
                <w:rFonts w:ascii="Arial" w:hAnsi="Arial" w:cs="Arial"/>
                <w:b/>
                <w:bCs/>
              </w:rPr>
            </w:pPr>
            <w:r w:rsidRPr="009B3B7E">
              <w:rPr>
                <w:rFonts w:ascii="Arial" w:hAnsi="Arial"/>
                <w:b/>
              </w:rPr>
              <w:t>2</w:t>
            </w:r>
          </w:p>
        </w:tc>
        <w:tc>
          <w:tcPr>
            <w:tcW w:w="372" w:type="dxa"/>
            <w:tcBorders>
              <w:top w:val="nil"/>
              <w:left w:val="nil"/>
              <w:bottom w:val="single" w:sz="8" w:space="0" w:color="auto"/>
              <w:right w:val="single" w:sz="4" w:space="0" w:color="auto"/>
            </w:tcBorders>
            <w:shd w:val="clear" w:color="auto" w:fill="FFFF99"/>
            <w:noWrap/>
            <w:vAlign w:val="bottom"/>
          </w:tcPr>
          <w:p w14:paraId="521A2B71" w14:textId="77777777" w:rsidR="00A94470" w:rsidRPr="009B3B7E" w:rsidRDefault="00A94470" w:rsidP="00096D72">
            <w:pPr>
              <w:jc w:val="right"/>
              <w:rPr>
                <w:rFonts w:ascii="Arial" w:hAnsi="Arial" w:cs="Arial"/>
                <w:b/>
                <w:bCs/>
              </w:rPr>
            </w:pPr>
            <w:r w:rsidRPr="009B3B7E">
              <w:rPr>
                <w:rFonts w:ascii="Arial" w:hAnsi="Arial"/>
                <w:b/>
              </w:rPr>
              <w:t>3</w:t>
            </w:r>
          </w:p>
        </w:tc>
        <w:tc>
          <w:tcPr>
            <w:tcW w:w="372" w:type="dxa"/>
            <w:tcBorders>
              <w:top w:val="nil"/>
              <w:left w:val="nil"/>
              <w:bottom w:val="single" w:sz="8" w:space="0" w:color="auto"/>
              <w:right w:val="single" w:sz="8" w:space="0" w:color="auto"/>
            </w:tcBorders>
            <w:shd w:val="clear" w:color="auto" w:fill="FFFF99"/>
            <w:noWrap/>
            <w:vAlign w:val="bottom"/>
          </w:tcPr>
          <w:p w14:paraId="510160B2" w14:textId="77777777" w:rsidR="00A94470" w:rsidRPr="009B3B7E" w:rsidRDefault="00A94470" w:rsidP="00096D72">
            <w:pPr>
              <w:jc w:val="right"/>
              <w:rPr>
                <w:rFonts w:ascii="Arial" w:hAnsi="Arial" w:cs="Arial"/>
                <w:b/>
                <w:bCs/>
              </w:rPr>
            </w:pPr>
            <w:r w:rsidRPr="009B3B7E">
              <w:rPr>
                <w:rFonts w:ascii="Arial" w:hAnsi="Arial"/>
                <w:b/>
              </w:rPr>
              <w:t>4</w:t>
            </w:r>
          </w:p>
        </w:tc>
        <w:tc>
          <w:tcPr>
            <w:tcW w:w="372" w:type="dxa"/>
            <w:tcBorders>
              <w:top w:val="nil"/>
              <w:left w:val="nil"/>
              <w:bottom w:val="single" w:sz="8" w:space="0" w:color="auto"/>
              <w:right w:val="single" w:sz="4" w:space="0" w:color="auto"/>
            </w:tcBorders>
            <w:shd w:val="clear" w:color="auto" w:fill="FFFF99"/>
            <w:noWrap/>
            <w:vAlign w:val="bottom"/>
          </w:tcPr>
          <w:p w14:paraId="3CE773EA" w14:textId="77777777" w:rsidR="00A94470" w:rsidRPr="009B3B7E" w:rsidRDefault="00A94470" w:rsidP="00096D72">
            <w:pPr>
              <w:jc w:val="right"/>
              <w:rPr>
                <w:rFonts w:ascii="Arial" w:hAnsi="Arial" w:cs="Arial"/>
                <w:b/>
                <w:bCs/>
              </w:rPr>
            </w:pPr>
            <w:r w:rsidRPr="009B3B7E">
              <w:rPr>
                <w:rFonts w:ascii="Arial" w:hAnsi="Arial"/>
                <w:b/>
              </w:rPr>
              <w:t>1</w:t>
            </w:r>
          </w:p>
        </w:tc>
        <w:tc>
          <w:tcPr>
            <w:tcW w:w="372" w:type="dxa"/>
            <w:tcBorders>
              <w:top w:val="nil"/>
              <w:left w:val="nil"/>
              <w:bottom w:val="single" w:sz="8" w:space="0" w:color="auto"/>
              <w:right w:val="single" w:sz="4" w:space="0" w:color="auto"/>
            </w:tcBorders>
            <w:shd w:val="clear" w:color="auto" w:fill="FFFF99"/>
            <w:noWrap/>
            <w:vAlign w:val="bottom"/>
          </w:tcPr>
          <w:p w14:paraId="1656BD63" w14:textId="77777777" w:rsidR="00A94470" w:rsidRPr="009B3B7E" w:rsidRDefault="00A94470" w:rsidP="00096D72">
            <w:pPr>
              <w:jc w:val="right"/>
              <w:rPr>
                <w:rFonts w:ascii="Arial" w:hAnsi="Arial" w:cs="Arial"/>
                <w:b/>
                <w:bCs/>
              </w:rPr>
            </w:pPr>
            <w:r w:rsidRPr="009B3B7E">
              <w:rPr>
                <w:rFonts w:ascii="Arial" w:hAnsi="Arial"/>
                <w:b/>
              </w:rPr>
              <w:t>2</w:t>
            </w:r>
          </w:p>
        </w:tc>
        <w:tc>
          <w:tcPr>
            <w:tcW w:w="350" w:type="dxa"/>
            <w:tcBorders>
              <w:top w:val="nil"/>
              <w:left w:val="nil"/>
              <w:bottom w:val="single" w:sz="8" w:space="0" w:color="auto"/>
              <w:right w:val="single" w:sz="4" w:space="0" w:color="auto"/>
            </w:tcBorders>
            <w:shd w:val="clear" w:color="auto" w:fill="FFFF99"/>
            <w:vAlign w:val="bottom"/>
          </w:tcPr>
          <w:p w14:paraId="18AC4F97" w14:textId="77777777" w:rsidR="00A94470" w:rsidRPr="009B3B7E" w:rsidRDefault="00A94470" w:rsidP="00096D72">
            <w:pPr>
              <w:jc w:val="right"/>
              <w:rPr>
                <w:rFonts w:ascii="Arial" w:hAnsi="Arial" w:cs="Arial"/>
                <w:b/>
                <w:bCs/>
              </w:rPr>
            </w:pPr>
            <w:r w:rsidRPr="009B3B7E">
              <w:rPr>
                <w:rFonts w:ascii="Arial" w:hAnsi="Arial"/>
                <w:b/>
              </w:rPr>
              <w:t>3</w:t>
            </w:r>
          </w:p>
        </w:tc>
        <w:tc>
          <w:tcPr>
            <w:tcW w:w="350" w:type="dxa"/>
            <w:tcBorders>
              <w:top w:val="nil"/>
              <w:left w:val="nil"/>
              <w:bottom w:val="single" w:sz="8" w:space="0" w:color="auto"/>
              <w:right w:val="single" w:sz="4" w:space="0" w:color="auto"/>
            </w:tcBorders>
            <w:shd w:val="clear" w:color="auto" w:fill="FFFF99"/>
            <w:vAlign w:val="bottom"/>
          </w:tcPr>
          <w:p w14:paraId="2576186B" w14:textId="77777777" w:rsidR="00A94470" w:rsidRPr="009B3B7E" w:rsidRDefault="00A94470" w:rsidP="00096D72">
            <w:pPr>
              <w:jc w:val="right"/>
              <w:rPr>
                <w:rFonts w:ascii="Arial" w:hAnsi="Arial" w:cs="Arial"/>
                <w:b/>
                <w:bCs/>
              </w:rPr>
            </w:pPr>
            <w:r w:rsidRPr="009B3B7E">
              <w:rPr>
                <w:rFonts w:ascii="Arial" w:hAnsi="Arial"/>
                <w:b/>
              </w:rPr>
              <w:t>4</w:t>
            </w:r>
          </w:p>
        </w:tc>
      </w:tr>
      <w:tr w:rsidR="00A94470" w:rsidRPr="009B3B7E" w14:paraId="21BCD695" w14:textId="77777777" w:rsidTr="009B3B7E">
        <w:trPr>
          <w:trHeight w:val="255"/>
        </w:trPr>
        <w:tc>
          <w:tcPr>
            <w:tcW w:w="2446" w:type="dxa"/>
            <w:tcBorders>
              <w:top w:val="nil"/>
              <w:left w:val="single" w:sz="8" w:space="0" w:color="auto"/>
              <w:bottom w:val="single" w:sz="4" w:space="0" w:color="auto"/>
              <w:right w:val="nil"/>
            </w:tcBorders>
            <w:shd w:val="clear" w:color="auto" w:fill="FFCC99"/>
            <w:vAlign w:val="bottom"/>
          </w:tcPr>
          <w:p w14:paraId="3B0B5EAF" w14:textId="77777777" w:rsidR="00A94470" w:rsidRPr="009B3B7E" w:rsidRDefault="00A94470" w:rsidP="00096D72">
            <w:pPr>
              <w:rPr>
                <w:rFonts w:ascii="Arial" w:hAnsi="Arial" w:cs="Arial"/>
                <w:b/>
                <w:bCs/>
                <w:sz w:val="20"/>
                <w:szCs w:val="20"/>
              </w:rPr>
            </w:pPr>
            <w:r w:rsidRPr="009B3B7E">
              <w:rPr>
                <w:rFonts w:ascii="Arial" w:hAnsi="Arial"/>
                <w:b/>
                <w:sz w:val="20"/>
              </w:rPr>
              <w:t>Phase préparatoire</w:t>
            </w:r>
          </w:p>
        </w:tc>
        <w:tc>
          <w:tcPr>
            <w:tcW w:w="350" w:type="dxa"/>
            <w:tcBorders>
              <w:top w:val="nil"/>
              <w:left w:val="single" w:sz="8" w:space="0" w:color="auto"/>
              <w:bottom w:val="single" w:sz="4" w:space="0" w:color="auto"/>
              <w:right w:val="single" w:sz="4" w:space="0" w:color="auto"/>
            </w:tcBorders>
            <w:shd w:val="clear" w:color="auto" w:fill="FFCC99"/>
            <w:noWrap/>
            <w:vAlign w:val="bottom"/>
          </w:tcPr>
          <w:p w14:paraId="3E3C367E"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4" w:space="0" w:color="auto"/>
            </w:tcBorders>
            <w:shd w:val="clear" w:color="auto" w:fill="FFCC99"/>
            <w:noWrap/>
            <w:vAlign w:val="bottom"/>
          </w:tcPr>
          <w:p w14:paraId="27034E3A"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4" w:space="0" w:color="auto"/>
            </w:tcBorders>
            <w:shd w:val="clear" w:color="auto" w:fill="FFCC99"/>
            <w:noWrap/>
            <w:vAlign w:val="bottom"/>
          </w:tcPr>
          <w:p w14:paraId="44DCC15D"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8" w:space="0" w:color="auto"/>
            </w:tcBorders>
            <w:shd w:val="clear" w:color="auto" w:fill="FFCC99"/>
            <w:noWrap/>
            <w:vAlign w:val="bottom"/>
          </w:tcPr>
          <w:p w14:paraId="63F2F2C3"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4" w:space="0" w:color="auto"/>
            </w:tcBorders>
            <w:shd w:val="clear" w:color="auto" w:fill="FFCC99"/>
            <w:noWrap/>
            <w:vAlign w:val="bottom"/>
          </w:tcPr>
          <w:p w14:paraId="7A5804D8"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4" w:space="0" w:color="auto"/>
            </w:tcBorders>
            <w:shd w:val="clear" w:color="auto" w:fill="FFCC99"/>
            <w:noWrap/>
            <w:vAlign w:val="bottom"/>
          </w:tcPr>
          <w:p w14:paraId="1DBEC2CA"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3A437DA6"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8" w:space="0" w:color="auto"/>
            </w:tcBorders>
            <w:shd w:val="clear" w:color="auto" w:fill="FFCC99"/>
            <w:noWrap/>
            <w:vAlign w:val="bottom"/>
          </w:tcPr>
          <w:p w14:paraId="4A3820F8" w14:textId="77777777" w:rsidR="00A94470" w:rsidRPr="009B3B7E" w:rsidRDefault="00A94470" w:rsidP="00096D72">
            <w:pPr>
              <w:rPr>
                <w:rFonts w:ascii="Arial" w:hAnsi="Arial" w:cs="Arial"/>
              </w:rPr>
            </w:pPr>
            <w:r w:rsidRPr="009B3B7E">
              <w:rPr>
                <w:rFonts w:ascii="Arial" w:hAnsi="Arial"/>
              </w:rPr>
              <w:t> </w:t>
            </w:r>
          </w:p>
        </w:tc>
        <w:tc>
          <w:tcPr>
            <w:tcW w:w="428" w:type="dxa"/>
            <w:tcBorders>
              <w:top w:val="nil"/>
              <w:left w:val="nil"/>
              <w:bottom w:val="single" w:sz="4" w:space="0" w:color="auto"/>
              <w:right w:val="single" w:sz="4" w:space="0" w:color="auto"/>
            </w:tcBorders>
            <w:shd w:val="clear" w:color="auto" w:fill="FFCC99"/>
            <w:noWrap/>
            <w:vAlign w:val="bottom"/>
          </w:tcPr>
          <w:p w14:paraId="6655B7DD"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017B7719"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7894BD70"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8" w:space="0" w:color="auto"/>
            </w:tcBorders>
            <w:shd w:val="clear" w:color="auto" w:fill="FFCC99"/>
            <w:noWrap/>
            <w:vAlign w:val="bottom"/>
          </w:tcPr>
          <w:p w14:paraId="7D347D34" w14:textId="77777777" w:rsidR="00A94470" w:rsidRPr="009B3B7E" w:rsidRDefault="00A94470" w:rsidP="00096D72">
            <w:pPr>
              <w:rPr>
                <w:rFonts w:ascii="Arial" w:hAnsi="Arial" w:cs="Arial"/>
              </w:rPr>
            </w:pPr>
            <w:r w:rsidRPr="009B3B7E">
              <w:rPr>
                <w:rFonts w:ascii="Arial" w:hAnsi="Arial"/>
              </w:rPr>
              <w:t> </w:t>
            </w:r>
          </w:p>
        </w:tc>
        <w:tc>
          <w:tcPr>
            <w:tcW w:w="388" w:type="dxa"/>
            <w:tcBorders>
              <w:top w:val="nil"/>
              <w:left w:val="nil"/>
              <w:bottom w:val="single" w:sz="4" w:space="0" w:color="auto"/>
              <w:right w:val="single" w:sz="4" w:space="0" w:color="auto"/>
            </w:tcBorders>
            <w:shd w:val="clear" w:color="auto" w:fill="FFCC99"/>
            <w:noWrap/>
            <w:vAlign w:val="bottom"/>
          </w:tcPr>
          <w:p w14:paraId="61B42182"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56766E8A"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187B76B5"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8" w:space="0" w:color="auto"/>
            </w:tcBorders>
            <w:shd w:val="clear" w:color="auto" w:fill="FFCC99"/>
            <w:noWrap/>
            <w:vAlign w:val="bottom"/>
          </w:tcPr>
          <w:p w14:paraId="5385B7AC"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4BE42AFC" w14:textId="77777777" w:rsidR="00A94470" w:rsidRPr="009B3B7E" w:rsidRDefault="00A94470" w:rsidP="00096D72">
            <w:pPr>
              <w:rPr>
                <w:rFonts w:ascii="Arial" w:hAnsi="Arial" w:cs="Arial"/>
              </w:rPr>
            </w:pPr>
            <w:r w:rsidRPr="009B3B7E">
              <w:rPr>
                <w:rFonts w:ascii="Arial" w:hAnsi="Arial"/>
              </w:rPr>
              <w:t> </w:t>
            </w:r>
          </w:p>
        </w:tc>
        <w:tc>
          <w:tcPr>
            <w:tcW w:w="372" w:type="dxa"/>
            <w:tcBorders>
              <w:top w:val="nil"/>
              <w:left w:val="nil"/>
              <w:bottom w:val="single" w:sz="4" w:space="0" w:color="auto"/>
              <w:right w:val="single" w:sz="4" w:space="0" w:color="auto"/>
            </w:tcBorders>
            <w:shd w:val="clear" w:color="auto" w:fill="FFCC99"/>
            <w:noWrap/>
            <w:vAlign w:val="bottom"/>
          </w:tcPr>
          <w:p w14:paraId="0B51D5CC" w14:textId="77777777" w:rsidR="00A94470" w:rsidRPr="009B3B7E" w:rsidRDefault="00A94470" w:rsidP="00096D72">
            <w:pPr>
              <w:rPr>
                <w:rFonts w:ascii="Arial" w:hAnsi="Arial" w:cs="Arial"/>
              </w:rPr>
            </w:pPr>
            <w:r w:rsidRPr="009B3B7E">
              <w:rPr>
                <w:rFonts w:ascii="Arial" w:hAnsi="Arial"/>
              </w:rPr>
              <w:t> </w:t>
            </w:r>
          </w:p>
        </w:tc>
        <w:tc>
          <w:tcPr>
            <w:tcW w:w="350" w:type="dxa"/>
            <w:tcBorders>
              <w:top w:val="nil"/>
              <w:left w:val="nil"/>
              <w:bottom w:val="single" w:sz="4" w:space="0" w:color="auto"/>
              <w:right w:val="single" w:sz="4" w:space="0" w:color="auto"/>
            </w:tcBorders>
            <w:shd w:val="clear" w:color="auto" w:fill="FFCC99"/>
          </w:tcPr>
          <w:p w14:paraId="5D83BB30" w14:textId="77777777" w:rsidR="00A94470" w:rsidRPr="009B3B7E" w:rsidRDefault="00A94470" w:rsidP="00096D72">
            <w:pPr>
              <w:rPr>
                <w:rFonts w:ascii="Arial" w:hAnsi="Arial" w:cs="Arial"/>
              </w:rPr>
            </w:pPr>
          </w:p>
        </w:tc>
        <w:tc>
          <w:tcPr>
            <w:tcW w:w="350" w:type="dxa"/>
            <w:tcBorders>
              <w:top w:val="nil"/>
              <w:left w:val="nil"/>
              <w:bottom w:val="single" w:sz="4" w:space="0" w:color="auto"/>
              <w:right w:val="single" w:sz="4" w:space="0" w:color="auto"/>
            </w:tcBorders>
            <w:shd w:val="clear" w:color="auto" w:fill="FFCC99"/>
          </w:tcPr>
          <w:p w14:paraId="21B1169A" w14:textId="77777777" w:rsidR="00A94470" w:rsidRPr="009B3B7E" w:rsidRDefault="00A94470" w:rsidP="00096D72">
            <w:pPr>
              <w:rPr>
                <w:rFonts w:ascii="Arial" w:hAnsi="Arial" w:cs="Arial"/>
              </w:rPr>
            </w:pPr>
          </w:p>
        </w:tc>
      </w:tr>
      <w:tr w:rsidR="00A94470" w:rsidRPr="009B3B7E" w14:paraId="6AAB543F" w14:textId="77777777" w:rsidTr="009B3B7E">
        <w:trPr>
          <w:trHeight w:val="592"/>
        </w:trPr>
        <w:tc>
          <w:tcPr>
            <w:tcW w:w="2446" w:type="dxa"/>
            <w:tcBorders>
              <w:top w:val="nil"/>
              <w:left w:val="single" w:sz="8" w:space="0" w:color="auto"/>
              <w:bottom w:val="single" w:sz="4" w:space="0" w:color="auto"/>
              <w:right w:val="nil"/>
            </w:tcBorders>
            <w:shd w:val="clear" w:color="auto" w:fill="auto"/>
            <w:vAlign w:val="bottom"/>
          </w:tcPr>
          <w:p w14:paraId="6480D44A" w14:textId="77777777" w:rsidR="00A94470" w:rsidRPr="009B3B7E" w:rsidRDefault="00A94470" w:rsidP="00096D72">
            <w:pPr>
              <w:rPr>
                <w:rFonts w:ascii="Arial" w:hAnsi="Arial" w:cs="Arial"/>
                <w:sz w:val="20"/>
                <w:szCs w:val="20"/>
              </w:rPr>
            </w:pPr>
            <w:r w:rsidRPr="009B3B7E">
              <w:rPr>
                <w:rFonts w:ascii="Arial" w:hAnsi="Arial"/>
                <w:sz w:val="20"/>
              </w:rPr>
              <w:t>Obtention de la validation déontologique</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3D5D03A2"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4613525"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040975F"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18FBE391"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255F32B"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065E62A9"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6DFB9D0C"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68C4C347"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F84669D"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5617D7B"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817DFD4"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06F2A382" w14:textId="77777777" w:rsidR="00A94470" w:rsidRPr="009B3B7E"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5775D63"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F466A6A"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B6D6156"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E3C11C3"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1822082"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825FDB0"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3481EFFA"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7E015A5" w14:textId="77777777" w:rsidR="00A94470" w:rsidRPr="009B3B7E" w:rsidRDefault="00A94470" w:rsidP="00096D72">
            <w:pPr>
              <w:jc w:val="center"/>
              <w:rPr>
                <w:rFonts w:ascii="Arial" w:hAnsi="Arial" w:cs="Arial"/>
                <w:sz w:val="20"/>
                <w:szCs w:val="20"/>
              </w:rPr>
            </w:pPr>
          </w:p>
        </w:tc>
      </w:tr>
      <w:tr w:rsidR="00A94470" w:rsidRPr="009B3B7E" w14:paraId="3BC72B3A" w14:textId="77777777" w:rsidTr="009B3B7E">
        <w:trPr>
          <w:trHeight w:val="373"/>
        </w:trPr>
        <w:tc>
          <w:tcPr>
            <w:tcW w:w="2446" w:type="dxa"/>
            <w:tcBorders>
              <w:top w:val="nil"/>
              <w:left w:val="single" w:sz="8" w:space="0" w:color="auto"/>
              <w:bottom w:val="single" w:sz="4" w:space="0" w:color="auto"/>
              <w:right w:val="nil"/>
            </w:tcBorders>
            <w:shd w:val="clear" w:color="auto" w:fill="auto"/>
            <w:vAlign w:val="center"/>
          </w:tcPr>
          <w:p w14:paraId="49CBF816" w14:textId="77777777" w:rsidR="00A94470" w:rsidRPr="009B3B7E" w:rsidRDefault="00A94470" w:rsidP="00096D72">
            <w:pPr>
              <w:rPr>
                <w:rFonts w:ascii="Arial" w:hAnsi="Arial" w:cs="Arial"/>
                <w:sz w:val="20"/>
                <w:szCs w:val="20"/>
              </w:rPr>
            </w:pPr>
            <w:r w:rsidRPr="009B3B7E">
              <w:rPr>
                <w:rFonts w:ascii="Arial" w:hAnsi="Arial"/>
                <w:sz w:val="20"/>
              </w:rPr>
              <w:t>Visite d’installation</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30F93FDB"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6513828F"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8848529"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4EF54E3C"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3C7338E"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7C11ADAB"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4D406637"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3A9E37CE"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2CF9BEC"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19D8E84"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2471395E"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6B295B4" w14:textId="77777777" w:rsidR="00A94470" w:rsidRPr="009B3B7E"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C25E9F7"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58D7ED3"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47332D"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6832CFA"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1612E51"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83A9571"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5A83FCD8"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1487E0C9" w14:textId="77777777" w:rsidR="00A94470" w:rsidRPr="009B3B7E" w:rsidRDefault="00A94470" w:rsidP="00096D72">
            <w:pPr>
              <w:jc w:val="center"/>
              <w:rPr>
                <w:rFonts w:ascii="Arial" w:hAnsi="Arial" w:cs="Arial"/>
                <w:sz w:val="20"/>
                <w:szCs w:val="20"/>
              </w:rPr>
            </w:pPr>
          </w:p>
        </w:tc>
      </w:tr>
      <w:tr w:rsidR="00A94470" w:rsidRPr="009B3B7E" w14:paraId="010AFD38" w14:textId="77777777" w:rsidTr="009B3B7E">
        <w:trPr>
          <w:trHeight w:val="255"/>
        </w:trPr>
        <w:tc>
          <w:tcPr>
            <w:tcW w:w="2446" w:type="dxa"/>
            <w:tcBorders>
              <w:top w:val="nil"/>
              <w:left w:val="single" w:sz="8" w:space="0" w:color="auto"/>
              <w:bottom w:val="single" w:sz="4" w:space="0" w:color="auto"/>
              <w:right w:val="nil"/>
            </w:tcBorders>
            <w:shd w:val="clear" w:color="auto" w:fill="auto"/>
            <w:vAlign w:val="bottom"/>
          </w:tcPr>
          <w:p w14:paraId="62D2305A" w14:textId="77777777" w:rsidR="00A94470" w:rsidRPr="009B3B7E" w:rsidRDefault="00A94470" w:rsidP="00096D72">
            <w:pPr>
              <w:rPr>
                <w:rFonts w:ascii="Arial" w:hAnsi="Arial" w:cs="Arial"/>
                <w:sz w:val="20"/>
                <w:szCs w:val="20"/>
              </w:rPr>
            </w:pPr>
            <w:r w:rsidRPr="009B3B7E">
              <w:rPr>
                <w:rFonts w:ascii="Arial" w:hAnsi="Arial"/>
                <w:sz w:val="20"/>
              </w:rPr>
              <w:t>Identification de l’équipe chargée des enquêtes</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3495D632"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73470C69"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07B40698"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8" w:space="0" w:color="auto"/>
            </w:tcBorders>
            <w:shd w:val="clear" w:color="auto" w:fill="FFFFFF"/>
            <w:noWrap/>
            <w:vAlign w:val="bottom"/>
          </w:tcPr>
          <w:p w14:paraId="206D9ECE"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28721769"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3BF8D111" w14:textId="77777777" w:rsidR="00A94470" w:rsidRPr="009B3B7E"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53793C50" w14:textId="77777777" w:rsidR="00A94470" w:rsidRPr="009B3B7E"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6D0B994F" w14:textId="77777777" w:rsidR="00A94470" w:rsidRPr="009B3B7E"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71055A24" w14:textId="77777777" w:rsidR="00A94470" w:rsidRPr="009B3B7E" w:rsidRDefault="00A94470" w:rsidP="00096D72">
            <w:pPr>
              <w:rPr>
                <w:rFonts w:ascii="Arial" w:hAnsi="Arial" w:cs="Arial"/>
                <w:sz w:val="20"/>
                <w:szCs w:val="20"/>
              </w:rPr>
            </w:pPr>
            <w:r w:rsidRPr="009B3B7E">
              <w:rPr>
                <w:rFonts w:ascii="Arial" w:hAnsi="Arial"/>
                <w:sz w:val="20"/>
              </w:rPr>
              <w:t>X</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75600D63" w14:textId="77777777" w:rsidR="00A94470" w:rsidRPr="009B3B7E" w:rsidRDefault="00A94470" w:rsidP="00096D72">
            <w:pP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00EE87FA" w14:textId="77777777" w:rsidR="00A94470" w:rsidRPr="009B3B7E"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bottom"/>
          </w:tcPr>
          <w:p w14:paraId="59E342C8"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88" w:type="dxa"/>
            <w:tcBorders>
              <w:top w:val="single" w:sz="4" w:space="0" w:color="auto"/>
              <w:left w:val="nil"/>
              <w:bottom w:val="single" w:sz="4" w:space="0" w:color="auto"/>
              <w:right w:val="single" w:sz="4" w:space="0" w:color="auto"/>
            </w:tcBorders>
            <w:shd w:val="clear" w:color="auto" w:fill="auto"/>
            <w:noWrap/>
            <w:vAlign w:val="bottom"/>
          </w:tcPr>
          <w:p w14:paraId="7E85DF00"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70C90154"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6A44D6F1"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8" w:space="0" w:color="auto"/>
            </w:tcBorders>
            <w:shd w:val="clear" w:color="auto" w:fill="auto"/>
            <w:noWrap/>
            <w:vAlign w:val="bottom"/>
          </w:tcPr>
          <w:p w14:paraId="6DF6DD40"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3292CA3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4463DA5F"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tcPr>
          <w:p w14:paraId="45BD522B"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tcPr>
          <w:p w14:paraId="0B06056E" w14:textId="77777777" w:rsidR="00A94470" w:rsidRPr="009B3B7E" w:rsidRDefault="00A94470" w:rsidP="00096D72">
            <w:pPr>
              <w:rPr>
                <w:rFonts w:ascii="Arial" w:hAnsi="Arial" w:cs="Arial"/>
                <w:sz w:val="20"/>
                <w:szCs w:val="20"/>
              </w:rPr>
            </w:pPr>
          </w:p>
        </w:tc>
      </w:tr>
      <w:tr w:rsidR="00A94470" w:rsidRPr="009B3B7E" w14:paraId="48A49579" w14:textId="77777777" w:rsidTr="009B3B7E">
        <w:trPr>
          <w:trHeight w:val="255"/>
        </w:trPr>
        <w:tc>
          <w:tcPr>
            <w:tcW w:w="2446" w:type="dxa"/>
            <w:tcBorders>
              <w:top w:val="nil"/>
              <w:left w:val="single" w:sz="8" w:space="0" w:color="auto"/>
              <w:bottom w:val="single" w:sz="4" w:space="0" w:color="auto"/>
              <w:right w:val="nil"/>
            </w:tcBorders>
            <w:shd w:val="clear" w:color="auto" w:fill="auto"/>
            <w:vAlign w:val="bottom"/>
          </w:tcPr>
          <w:p w14:paraId="1DA0FFEC" w14:textId="77777777" w:rsidR="00A94470" w:rsidRPr="009B3B7E" w:rsidRDefault="00A94470" w:rsidP="00096D72">
            <w:pPr>
              <w:rPr>
                <w:rFonts w:ascii="Arial" w:hAnsi="Arial" w:cs="Arial"/>
                <w:sz w:val="20"/>
                <w:szCs w:val="20"/>
              </w:rPr>
            </w:pPr>
            <w:r w:rsidRPr="009B3B7E">
              <w:rPr>
                <w:rFonts w:ascii="Arial" w:hAnsi="Arial"/>
                <w:sz w:val="20"/>
              </w:rPr>
              <w:t>Préparation du guide de formation</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4486CB84"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023A509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1231C975"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8" w:space="0" w:color="auto"/>
            </w:tcBorders>
            <w:shd w:val="clear" w:color="auto" w:fill="FFFFFF"/>
            <w:noWrap/>
            <w:vAlign w:val="bottom"/>
          </w:tcPr>
          <w:p w14:paraId="1B0A4DDF"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755A2F9D"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FE17E71"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28BC77D0"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614D3A55"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AC3AB90"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F99A799"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4BF952F"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74CB2EF9" w14:textId="77777777" w:rsidR="00A94470" w:rsidRPr="009B3B7E"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1D5ECE3"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6ED7FA0"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046220D"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D950930"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98E66AF"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705FEF2"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C126CAB"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69DFC565" w14:textId="77777777" w:rsidR="00A94470" w:rsidRPr="009B3B7E" w:rsidRDefault="00A94470" w:rsidP="00096D72">
            <w:pPr>
              <w:jc w:val="center"/>
              <w:rPr>
                <w:rFonts w:ascii="Arial" w:hAnsi="Arial" w:cs="Arial"/>
                <w:sz w:val="20"/>
                <w:szCs w:val="20"/>
              </w:rPr>
            </w:pPr>
          </w:p>
        </w:tc>
      </w:tr>
      <w:tr w:rsidR="00A94470" w:rsidRPr="009B3B7E" w14:paraId="6C63A775" w14:textId="77777777" w:rsidTr="009B3B7E">
        <w:trPr>
          <w:trHeight w:val="255"/>
        </w:trPr>
        <w:tc>
          <w:tcPr>
            <w:tcW w:w="2446" w:type="dxa"/>
            <w:tcBorders>
              <w:top w:val="nil"/>
              <w:left w:val="single" w:sz="8" w:space="0" w:color="auto"/>
              <w:bottom w:val="single" w:sz="4" w:space="0" w:color="auto"/>
              <w:right w:val="nil"/>
            </w:tcBorders>
            <w:shd w:val="clear" w:color="auto" w:fill="auto"/>
            <w:vAlign w:val="bottom"/>
          </w:tcPr>
          <w:p w14:paraId="6D071E5E" w14:textId="77777777" w:rsidR="00A94470" w:rsidRPr="009B3B7E" w:rsidRDefault="00A94470" w:rsidP="00096D72">
            <w:pPr>
              <w:rPr>
                <w:rFonts w:ascii="Arial" w:hAnsi="Arial" w:cs="Arial"/>
                <w:sz w:val="20"/>
                <w:szCs w:val="20"/>
              </w:rPr>
            </w:pPr>
            <w:r w:rsidRPr="009B3B7E">
              <w:rPr>
                <w:rFonts w:ascii="Arial" w:hAnsi="Arial"/>
                <w:sz w:val="20"/>
              </w:rPr>
              <w:t>Préparation du système de saisie des données</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4524ED11"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4A774D3"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7399FB7"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18B0F9E3"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586F3B1A"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E3B32C8"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0017F070"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316F9AA2"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218BF732"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196FF13"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8C4416F"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4C0F2EBE" w14:textId="77777777" w:rsidR="00A94470" w:rsidRPr="009B3B7E"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7D810CAE"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0715C"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999C3E5"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AFCEA20"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3AEC7D6"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3351A1B"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073774F3"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58E3A68" w14:textId="77777777" w:rsidR="00A94470" w:rsidRPr="009B3B7E" w:rsidRDefault="00A94470" w:rsidP="00096D72">
            <w:pPr>
              <w:jc w:val="center"/>
              <w:rPr>
                <w:rFonts w:ascii="Arial" w:hAnsi="Arial" w:cs="Arial"/>
                <w:sz w:val="20"/>
                <w:szCs w:val="20"/>
              </w:rPr>
            </w:pPr>
          </w:p>
        </w:tc>
      </w:tr>
      <w:tr w:rsidR="00A94470" w:rsidRPr="009B3B7E" w14:paraId="71706804" w14:textId="77777777" w:rsidTr="009B3B7E">
        <w:trPr>
          <w:trHeight w:val="255"/>
        </w:trPr>
        <w:tc>
          <w:tcPr>
            <w:tcW w:w="2446" w:type="dxa"/>
            <w:tcBorders>
              <w:top w:val="single" w:sz="4" w:space="0" w:color="auto"/>
              <w:left w:val="single" w:sz="8" w:space="0" w:color="auto"/>
              <w:bottom w:val="single" w:sz="4" w:space="0" w:color="auto"/>
              <w:right w:val="nil"/>
            </w:tcBorders>
            <w:shd w:val="clear" w:color="auto" w:fill="FFCC99"/>
            <w:vAlign w:val="bottom"/>
          </w:tcPr>
          <w:p w14:paraId="461C2120" w14:textId="77777777" w:rsidR="00A94470" w:rsidRPr="009B3B7E" w:rsidRDefault="00A94470" w:rsidP="00096D72">
            <w:pPr>
              <w:rPr>
                <w:rFonts w:ascii="Arial" w:hAnsi="Arial" w:cs="Arial"/>
                <w:b/>
                <w:bCs/>
                <w:sz w:val="20"/>
                <w:szCs w:val="20"/>
              </w:rPr>
            </w:pPr>
            <w:r w:rsidRPr="009B3B7E">
              <w:rPr>
                <w:rFonts w:ascii="Arial" w:hAnsi="Arial"/>
                <w:b/>
                <w:sz w:val="20"/>
              </w:rPr>
              <w:t>Travail sur le terrain</w:t>
            </w:r>
          </w:p>
        </w:tc>
        <w:tc>
          <w:tcPr>
            <w:tcW w:w="350" w:type="dxa"/>
            <w:tcBorders>
              <w:top w:val="single" w:sz="4" w:space="0" w:color="auto"/>
              <w:left w:val="single" w:sz="8" w:space="0" w:color="auto"/>
              <w:bottom w:val="single" w:sz="4" w:space="0" w:color="auto"/>
              <w:right w:val="single" w:sz="4" w:space="0" w:color="auto"/>
            </w:tcBorders>
            <w:shd w:val="clear" w:color="auto" w:fill="FFCC99"/>
            <w:noWrap/>
            <w:vAlign w:val="bottom"/>
          </w:tcPr>
          <w:p w14:paraId="402F989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7CFD11F8"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13A75DBE"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8" w:space="0" w:color="auto"/>
            </w:tcBorders>
            <w:shd w:val="clear" w:color="auto" w:fill="FFCC99"/>
            <w:noWrap/>
            <w:vAlign w:val="bottom"/>
          </w:tcPr>
          <w:p w14:paraId="16C4053D"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7909A60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0232AB6B"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6CE6D1C1"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6E09C78F" w14:textId="77777777" w:rsidR="00A94470" w:rsidRPr="009B3B7E" w:rsidRDefault="00A94470" w:rsidP="00096D72">
            <w:pPr>
              <w:rPr>
                <w:rFonts w:ascii="Arial" w:hAnsi="Arial" w:cs="Arial"/>
                <w:sz w:val="20"/>
                <w:szCs w:val="20"/>
              </w:rPr>
            </w:pPr>
            <w:r w:rsidRPr="009B3B7E">
              <w:rPr>
                <w:rFonts w:ascii="Arial" w:hAnsi="Arial"/>
                <w:sz w:val="20"/>
              </w:rPr>
              <w:t> </w:t>
            </w:r>
          </w:p>
        </w:tc>
        <w:tc>
          <w:tcPr>
            <w:tcW w:w="428" w:type="dxa"/>
            <w:tcBorders>
              <w:top w:val="single" w:sz="4" w:space="0" w:color="auto"/>
              <w:left w:val="nil"/>
              <w:bottom w:val="single" w:sz="4" w:space="0" w:color="auto"/>
              <w:right w:val="single" w:sz="4" w:space="0" w:color="auto"/>
            </w:tcBorders>
            <w:shd w:val="clear" w:color="auto" w:fill="FFCC99"/>
            <w:noWrap/>
            <w:vAlign w:val="bottom"/>
          </w:tcPr>
          <w:p w14:paraId="08399FD4"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25B54AA1"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36FCC85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1A9DD6B8"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88" w:type="dxa"/>
            <w:tcBorders>
              <w:top w:val="single" w:sz="4" w:space="0" w:color="auto"/>
              <w:left w:val="nil"/>
              <w:bottom w:val="single" w:sz="4" w:space="0" w:color="auto"/>
              <w:right w:val="single" w:sz="4" w:space="0" w:color="auto"/>
            </w:tcBorders>
            <w:shd w:val="clear" w:color="auto" w:fill="FFCC99"/>
            <w:noWrap/>
            <w:vAlign w:val="bottom"/>
          </w:tcPr>
          <w:p w14:paraId="34431E05"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0DE3831B"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6C295BC0"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09B1D6C1"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0688634A"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3955B1B3"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CC99"/>
          </w:tcPr>
          <w:p w14:paraId="278EF320"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CC99"/>
          </w:tcPr>
          <w:p w14:paraId="3211D6F6" w14:textId="77777777" w:rsidR="00A94470" w:rsidRPr="009B3B7E" w:rsidRDefault="00A94470" w:rsidP="00096D72">
            <w:pPr>
              <w:rPr>
                <w:rFonts w:ascii="Arial" w:hAnsi="Arial" w:cs="Arial"/>
                <w:sz w:val="20"/>
                <w:szCs w:val="20"/>
              </w:rPr>
            </w:pPr>
          </w:p>
        </w:tc>
      </w:tr>
      <w:tr w:rsidR="00A94470" w:rsidRPr="009B3B7E" w14:paraId="2B12099F" w14:textId="77777777" w:rsidTr="009B3B7E">
        <w:trPr>
          <w:trHeight w:val="255"/>
        </w:trPr>
        <w:tc>
          <w:tcPr>
            <w:tcW w:w="2446" w:type="dxa"/>
            <w:tcBorders>
              <w:top w:val="nil"/>
              <w:left w:val="single" w:sz="8" w:space="0" w:color="auto"/>
              <w:bottom w:val="single" w:sz="4" w:space="0" w:color="auto"/>
              <w:right w:val="nil"/>
            </w:tcBorders>
            <w:shd w:val="clear" w:color="auto" w:fill="auto"/>
            <w:vAlign w:val="bottom"/>
          </w:tcPr>
          <w:p w14:paraId="00535AB1" w14:textId="77777777" w:rsidR="00A94470" w:rsidRPr="009B3B7E" w:rsidRDefault="00A94470" w:rsidP="00096D72">
            <w:pPr>
              <w:rPr>
                <w:rFonts w:ascii="Arial" w:hAnsi="Arial" w:cs="Arial"/>
                <w:sz w:val="20"/>
                <w:szCs w:val="20"/>
              </w:rPr>
            </w:pPr>
            <w:r w:rsidRPr="009B3B7E">
              <w:rPr>
                <w:rFonts w:ascii="Arial" w:hAnsi="Arial"/>
                <w:sz w:val="20"/>
              </w:rPr>
              <w:t>Formation et travail sur le terrain - lieu 1</w:t>
            </w:r>
          </w:p>
        </w:tc>
        <w:tc>
          <w:tcPr>
            <w:tcW w:w="3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8CAE7E2"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3B2E89B1"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0365232D"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8" w:space="0" w:color="auto"/>
            </w:tcBorders>
            <w:shd w:val="clear" w:color="auto" w:fill="auto"/>
            <w:noWrap/>
            <w:vAlign w:val="bottom"/>
          </w:tcPr>
          <w:p w14:paraId="5A03332A"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7CEA67A" w14:textId="77777777" w:rsidR="00A94470" w:rsidRPr="009B3B7E"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5DD57674" w14:textId="77777777" w:rsidR="00A94470" w:rsidRPr="009B3B7E"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612E1BB4" w14:textId="77777777" w:rsidR="00A94470" w:rsidRPr="009B3B7E" w:rsidRDefault="00A94470" w:rsidP="00096D72">
            <w:pPr>
              <w:ind w:right="-25"/>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40E9A0E2" w14:textId="77777777" w:rsidR="00A94470" w:rsidRPr="009B3B7E"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FFFFFF"/>
            <w:noWrap/>
            <w:vAlign w:val="center"/>
          </w:tcPr>
          <w:p w14:paraId="5DCDC56F"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3A1C0A2B"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BEDB1A"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14E8593A"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0B3C550"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BA54D39"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F9088A2"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36D66B52"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FF2AB"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C6D67B5"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6C305F92" w14:textId="77777777" w:rsidR="00A94470" w:rsidRPr="009B3B7E"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16CF558F" w14:textId="77777777" w:rsidR="00A94470" w:rsidRPr="009B3B7E" w:rsidRDefault="00A94470" w:rsidP="00096D72">
            <w:pPr>
              <w:jc w:val="center"/>
              <w:rPr>
                <w:rFonts w:ascii="Arial" w:hAnsi="Arial" w:cs="Arial"/>
                <w:sz w:val="20"/>
                <w:szCs w:val="20"/>
              </w:rPr>
            </w:pPr>
          </w:p>
        </w:tc>
      </w:tr>
      <w:tr w:rsidR="00A94470" w:rsidRPr="009B3B7E" w14:paraId="19F3B972" w14:textId="77777777" w:rsidTr="009B3B7E">
        <w:trPr>
          <w:trHeight w:val="255"/>
        </w:trPr>
        <w:tc>
          <w:tcPr>
            <w:tcW w:w="2446" w:type="dxa"/>
            <w:tcBorders>
              <w:top w:val="nil"/>
              <w:left w:val="single" w:sz="8" w:space="0" w:color="auto"/>
              <w:bottom w:val="single" w:sz="4" w:space="0" w:color="auto"/>
              <w:right w:val="nil"/>
            </w:tcBorders>
            <w:shd w:val="clear" w:color="auto" w:fill="auto"/>
            <w:vAlign w:val="bottom"/>
          </w:tcPr>
          <w:p w14:paraId="6E07D4DA" w14:textId="77777777" w:rsidR="00A94470" w:rsidRPr="009B3B7E" w:rsidRDefault="00A94470" w:rsidP="00096D72">
            <w:pPr>
              <w:rPr>
                <w:rFonts w:ascii="Arial" w:hAnsi="Arial" w:cs="Arial"/>
                <w:sz w:val="20"/>
                <w:szCs w:val="20"/>
              </w:rPr>
            </w:pPr>
            <w:r w:rsidRPr="009B3B7E">
              <w:rPr>
                <w:rFonts w:ascii="Arial" w:hAnsi="Arial"/>
                <w:sz w:val="20"/>
              </w:rPr>
              <w:t>Formation et travail sur le terrain - lieu 2</w:t>
            </w:r>
          </w:p>
        </w:tc>
        <w:tc>
          <w:tcPr>
            <w:tcW w:w="3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D7DA2F6"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17E18346"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4175C7FB"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8" w:space="0" w:color="auto"/>
            </w:tcBorders>
            <w:shd w:val="clear" w:color="auto" w:fill="auto"/>
            <w:noWrap/>
            <w:vAlign w:val="bottom"/>
          </w:tcPr>
          <w:p w14:paraId="5E85C0D2"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C4333EC"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92BB355" w14:textId="77777777" w:rsidR="00A94470" w:rsidRPr="009B3B7E" w:rsidRDefault="00A94470" w:rsidP="00096D72">
            <w:pPr>
              <w:rPr>
                <w:rFonts w:ascii="Arial" w:hAnsi="Arial" w:cs="Arial"/>
                <w:sz w:val="20"/>
                <w:szCs w:val="20"/>
              </w:rPr>
            </w:pPr>
            <w:r w:rsidRPr="009B3B7E">
              <w:rPr>
                <w:rFonts w:ascii="Arial" w:hAnsi="Arial"/>
                <w:sz w:val="20"/>
              </w:rPr>
              <w:t> </w:t>
            </w: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2C8BB279" w14:textId="77777777" w:rsidR="00A94470" w:rsidRPr="009B3B7E"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064AA9B2" w14:textId="77777777" w:rsidR="00A94470" w:rsidRPr="009B3B7E"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FFFFFF"/>
            <w:noWrap/>
            <w:vAlign w:val="center"/>
          </w:tcPr>
          <w:p w14:paraId="795CCE0E"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7859D85B"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29CE2334"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4295D60" w14:textId="77777777" w:rsidR="00A94470" w:rsidRPr="009B3B7E"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1F023C3"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498BB4C"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25602B7" w14:textId="77777777" w:rsidR="00A94470" w:rsidRPr="009B3B7E"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78B2F17B"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3E6F512"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E5470E8"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4" w:space="0" w:color="auto"/>
            </w:tcBorders>
            <w:vAlign w:val="center"/>
          </w:tcPr>
          <w:p w14:paraId="187C450F" w14:textId="77777777" w:rsidR="00A94470" w:rsidRPr="009B3B7E" w:rsidRDefault="00A94470" w:rsidP="00096D72">
            <w:pPr>
              <w:jc w:val="center"/>
              <w:rPr>
                <w:rFonts w:ascii="Arial" w:hAnsi="Arial" w:cs="Arial"/>
                <w:sz w:val="20"/>
                <w:szCs w:val="20"/>
              </w:rPr>
            </w:pPr>
            <w:proofErr w:type="gramStart"/>
            <w:r w:rsidRPr="009B3B7E">
              <w:rPr>
                <w:rFonts w:ascii="Arial" w:hAnsi="Arial"/>
                <w:sz w:val="20"/>
              </w:rPr>
              <w:t>x</w:t>
            </w:r>
            <w:proofErr w:type="gramEnd"/>
          </w:p>
        </w:tc>
        <w:tc>
          <w:tcPr>
            <w:tcW w:w="350" w:type="dxa"/>
            <w:tcBorders>
              <w:top w:val="single" w:sz="4" w:space="0" w:color="auto"/>
              <w:left w:val="nil"/>
              <w:bottom w:val="single" w:sz="4" w:space="0" w:color="auto"/>
              <w:right w:val="single" w:sz="4" w:space="0" w:color="auto"/>
            </w:tcBorders>
            <w:vAlign w:val="center"/>
          </w:tcPr>
          <w:p w14:paraId="7271FC94" w14:textId="77777777" w:rsidR="00A94470" w:rsidRPr="009B3B7E" w:rsidRDefault="00A94470" w:rsidP="00096D72">
            <w:pPr>
              <w:jc w:val="center"/>
              <w:rPr>
                <w:rFonts w:ascii="Arial" w:hAnsi="Arial" w:cs="Arial"/>
                <w:sz w:val="20"/>
                <w:szCs w:val="20"/>
              </w:rPr>
            </w:pPr>
          </w:p>
        </w:tc>
      </w:tr>
    </w:tbl>
    <w:p w14:paraId="309151C7" w14:textId="77777777" w:rsidR="00A94470" w:rsidRPr="009B3B7E" w:rsidRDefault="00A94470" w:rsidP="00A94470">
      <w:pPr>
        <w:tabs>
          <w:tab w:val="left" w:pos="1320"/>
          <w:tab w:val="left" w:pos="1440"/>
          <w:tab w:val="left" w:pos="1800"/>
        </w:tabs>
        <w:ind w:right="1440"/>
        <w:rPr>
          <w:rFonts w:ascii="Arial" w:hAnsi="Arial" w:cs="Arial"/>
          <w:color w:val="0000FF"/>
        </w:rPr>
      </w:pPr>
    </w:p>
    <w:p w14:paraId="25A485B2" w14:textId="77777777" w:rsidR="00A94470" w:rsidRPr="009B3B7E" w:rsidRDefault="00A94470" w:rsidP="00A94470">
      <w:pPr>
        <w:pStyle w:val="Heading1"/>
      </w:pPr>
      <w:bookmarkStart w:id="110" w:name="_Toc305338838"/>
      <w:bookmarkStart w:id="111" w:name="_Toc465080762"/>
      <w:r w:rsidRPr="009B3B7E">
        <w:lastRenderedPageBreak/>
        <w:t>Personnel</w:t>
      </w:r>
      <w:bookmarkEnd w:id="110"/>
      <w:bookmarkEnd w:id="111"/>
    </w:p>
    <w:p w14:paraId="33A9B543" w14:textId="77777777" w:rsidR="00A94470" w:rsidRPr="009B3B7E" w:rsidRDefault="00A94470" w:rsidP="00A94470">
      <w:commentRangeStart w:id="112"/>
      <w:r w:rsidRPr="009B3B7E">
        <w:rPr>
          <w:rFonts w:ascii="Calibri" w:hAnsi="Calibri"/>
        </w:rPr>
        <w:t xml:space="preserve">Investigateur principal : </w:t>
      </w:r>
      <w:r w:rsidRPr="009B3B7E">
        <w:t>Dr ND</w:t>
      </w:r>
    </w:p>
    <w:p w14:paraId="6C5F17AE" w14:textId="77777777" w:rsidR="006E6130" w:rsidRPr="009B3B7E" w:rsidRDefault="00A94470" w:rsidP="00A94470">
      <w:r w:rsidRPr="009B3B7E">
        <w:t>Co-investigateur : Dr ND</w:t>
      </w:r>
    </w:p>
    <w:p w14:paraId="3CD4F620" w14:textId="0EB5B7F6" w:rsidR="00A94470" w:rsidRPr="009B3B7E" w:rsidRDefault="00A94470" w:rsidP="009B3B7E">
      <w:pPr>
        <w:spacing w:after="0"/>
      </w:pPr>
      <w:r w:rsidRPr="009B3B7E">
        <w:t>Co-investigateur : Dr ND</w:t>
      </w:r>
      <w:commentRangeEnd w:id="112"/>
      <w:r w:rsidRPr="009B3B7E">
        <w:rPr>
          <w:rStyle w:val="CommentReference"/>
        </w:rPr>
        <w:commentReference w:id="112"/>
      </w:r>
    </w:p>
    <w:p w14:paraId="67FBC32F" w14:textId="77777777" w:rsidR="00A94470" w:rsidRPr="009B3B7E" w:rsidRDefault="00A94470" w:rsidP="00A94470">
      <w:pPr>
        <w:pStyle w:val="Heading1"/>
      </w:pPr>
      <w:bookmarkStart w:id="113" w:name="_Toc305338839"/>
      <w:bookmarkStart w:id="114" w:name="_Toc465080763"/>
      <w:r w:rsidRPr="009B3B7E">
        <w:t>Références</w:t>
      </w:r>
      <w:bookmarkEnd w:id="113"/>
      <w:bookmarkEnd w:id="114"/>
    </w:p>
    <w:p w14:paraId="35D0AC31" w14:textId="77777777" w:rsidR="006E6130" w:rsidRPr="009B3B7E" w:rsidRDefault="00A94470" w:rsidP="009B3B7E">
      <w:pPr>
        <w:pStyle w:val="ListParagraph"/>
        <w:numPr>
          <w:ilvl w:val="0"/>
          <w:numId w:val="29"/>
        </w:numPr>
        <w:spacing w:before="200" w:line="240" w:lineRule="auto"/>
        <w:ind w:left="714" w:hanging="357"/>
        <w:rPr>
          <w:rFonts w:ascii="Calibri" w:hAnsi="Calibri" w:cs="Arial"/>
          <w:lang w:val="en-US"/>
        </w:rPr>
      </w:pPr>
      <w:r w:rsidRPr="009B3B7E">
        <w:rPr>
          <w:rFonts w:ascii="Calibri" w:hAnsi="Calibri"/>
          <w:lang w:val="en-US"/>
        </w:rPr>
        <w:t xml:space="preserve">WHOPES: </w:t>
      </w:r>
      <w:r w:rsidRPr="009B3B7E">
        <w:rPr>
          <w:rFonts w:ascii="Calibri" w:hAnsi="Calibri"/>
          <w:b/>
          <w:lang w:val="en-US"/>
        </w:rPr>
        <w:t>Guidelines for monitoring the durability of long-lasting insecticidal mosquito nets under operational conditions</w:t>
      </w:r>
      <w:r w:rsidRPr="009B3B7E">
        <w:rPr>
          <w:rFonts w:ascii="Calibri" w:hAnsi="Calibri"/>
          <w:lang w:val="en-US"/>
        </w:rPr>
        <w:t xml:space="preserve">, WHO/HTM/NTD/WHOPES/2011.5 </w:t>
      </w:r>
      <w:hyperlink r:id="rId19">
        <w:r w:rsidRPr="009B3B7E">
          <w:rPr>
            <w:rStyle w:val="Hyperlink"/>
            <w:rFonts w:ascii="Calibri" w:hAnsi="Calibri"/>
            <w:lang w:val="en-US"/>
          </w:rPr>
          <w:t>http://whqlibdoc.who.int/publications/2011/9789241501705_eng.pdf</w:t>
        </w:r>
      </w:hyperlink>
    </w:p>
    <w:p w14:paraId="46B2EAF2" w14:textId="171C5AB6" w:rsidR="00A94470" w:rsidRPr="009B3B7E" w:rsidRDefault="00A94470" w:rsidP="00FC6E68">
      <w:pPr>
        <w:pStyle w:val="ListParagraph"/>
        <w:numPr>
          <w:ilvl w:val="0"/>
          <w:numId w:val="29"/>
        </w:numPr>
        <w:spacing w:line="240" w:lineRule="auto"/>
      </w:pPr>
      <w:r w:rsidRPr="009B3B7E">
        <w:rPr>
          <w:lang w:val="en-US"/>
        </w:rPr>
        <w:t xml:space="preserve">World Health Organization: </w:t>
      </w:r>
      <w:r w:rsidRPr="009B3B7E">
        <w:rPr>
          <w:b/>
          <w:lang w:val="en-US"/>
        </w:rPr>
        <w:t xml:space="preserve">WHO guidance </w:t>
      </w:r>
      <w:proofErr w:type="gramStart"/>
      <w:r w:rsidRPr="009B3B7E">
        <w:rPr>
          <w:b/>
          <w:lang w:val="en-US"/>
        </w:rPr>
        <w:t>note</w:t>
      </w:r>
      <w:proofErr w:type="gramEnd"/>
      <w:r w:rsidRPr="009B3B7E">
        <w:rPr>
          <w:b/>
          <w:lang w:val="en-US"/>
        </w:rPr>
        <w:t xml:space="preserve"> for estimating the longevity of Long-lasting Insecticidal nets in Malaria Control.</w:t>
      </w:r>
      <w:r w:rsidRPr="009B3B7E">
        <w:rPr>
          <w:lang w:val="en-US"/>
        </w:rPr>
        <w:t xml:space="preserve"> </w:t>
      </w:r>
      <w:r w:rsidRPr="009B3B7E">
        <w:t xml:space="preserve">Genève : 2013. </w:t>
      </w:r>
      <w:hyperlink r:id="rId20">
        <w:r w:rsidRPr="009B3B7E">
          <w:rPr>
            <w:rStyle w:val="Hyperlink"/>
          </w:rPr>
          <w:t>http://www.who.int/entity/malaria/publications/atoz/who_guidance_longevity_llins/en/index.html</w:t>
        </w:r>
      </w:hyperlink>
      <w:r w:rsidRPr="009B3B7E">
        <w:t>.</w:t>
      </w:r>
    </w:p>
    <w:p w14:paraId="58EC218D" w14:textId="77777777" w:rsidR="00A94470" w:rsidRPr="00A223B9" w:rsidRDefault="00A94470" w:rsidP="00FC6E68">
      <w:pPr>
        <w:pStyle w:val="ListParagraph"/>
        <w:numPr>
          <w:ilvl w:val="0"/>
          <w:numId w:val="29"/>
        </w:numPr>
        <w:spacing w:line="240" w:lineRule="auto"/>
        <w:rPr>
          <w:rPrChange w:id="115" w:author="Alisse Palmer" w:date="2022-03-14T16:32:00Z">
            <w:rPr>
              <w:lang w:val="en-US"/>
            </w:rPr>
          </w:rPrChange>
        </w:rPr>
      </w:pPr>
      <w:r w:rsidRPr="009B3B7E">
        <w:rPr>
          <w:lang w:val="en-US"/>
        </w:rPr>
        <w:t xml:space="preserve">World Health Organization: </w:t>
      </w:r>
      <w:r w:rsidRPr="009B3B7E">
        <w:rPr>
          <w:b/>
          <w:lang w:val="en-US"/>
        </w:rPr>
        <w:t>Estimating functional survival of long-lasting insecticidal nets from field data</w:t>
      </w:r>
      <w:r w:rsidRPr="009B3B7E">
        <w:rPr>
          <w:lang w:val="en-US"/>
        </w:rPr>
        <w:t xml:space="preserve">. Vector Control Technical Expert Group Report to MPAC September 2013. </w:t>
      </w:r>
      <w:r w:rsidR="0008525E">
        <w:fldChar w:fldCharType="begin"/>
      </w:r>
      <w:r w:rsidR="0008525E" w:rsidRPr="00A223B9">
        <w:rPr>
          <w:lang w:val="en-US"/>
        </w:rPr>
        <w:instrText xml:space="preserve"> HYPERLINK "http://www.who.int/malaria/mpac/mpac_sep13_vcteg_llin_survival_report.pdf" \h </w:instrText>
      </w:r>
      <w:r w:rsidR="0008525E">
        <w:fldChar w:fldCharType="separate"/>
      </w:r>
      <w:r w:rsidRPr="00A223B9">
        <w:rPr>
          <w:rStyle w:val="Hyperlink"/>
          <w:rPrChange w:id="116" w:author="Alisse Palmer" w:date="2022-03-14T16:32:00Z">
            <w:rPr>
              <w:rStyle w:val="Hyperlink"/>
              <w:lang w:val="en-US"/>
            </w:rPr>
          </w:rPrChange>
        </w:rPr>
        <w:t>http://www.who.int/malaria/mpac/mpac_sep13_vcteg_llin_survival_report.pdf</w:t>
      </w:r>
      <w:r w:rsidR="0008525E">
        <w:rPr>
          <w:rStyle w:val="Hyperlink"/>
          <w:lang w:val="en-US"/>
        </w:rPr>
        <w:fldChar w:fldCharType="end"/>
      </w:r>
      <w:r w:rsidRPr="00A223B9">
        <w:rPr>
          <w:rPrChange w:id="117" w:author="Alisse Palmer" w:date="2022-03-14T16:32:00Z">
            <w:rPr>
              <w:lang w:val="en-US"/>
            </w:rPr>
          </w:rPrChange>
        </w:rPr>
        <w:t>.</w:t>
      </w:r>
    </w:p>
    <w:p w14:paraId="75CFFDAE" w14:textId="77777777" w:rsidR="00A94470" w:rsidRPr="009B3B7E" w:rsidRDefault="00A94470" w:rsidP="00FC6E68">
      <w:pPr>
        <w:pStyle w:val="ListParagraph"/>
        <w:numPr>
          <w:ilvl w:val="0"/>
          <w:numId w:val="29"/>
        </w:numPr>
        <w:spacing w:line="240" w:lineRule="auto"/>
      </w:pPr>
      <w:r w:rsidRPr="009B3B7E">
        <w:rPr>
          <w:lang w:val="en-US"/>
        </w:rPr>
        <w:t xml:space="preserve">Kilian A, </w:t>
      </w:r>
      <w:proofErr w:type="spellStart"/>
      <w:r w:rsidRPr="009B3B7E">
        <w:rPr>
          <w:lang w:val="en-US"/>
        </w:rPr>
        <w:t>Byamukama</w:t>
      </w:r>
      <w:proofErr w:type="spellEnd"/>
      <w:r w:rsidRPr="009B3B7E">
        <w:rPr>
          <w:lang w:val="en-US"/>
        </w:rPr>
        <w:t xml:space="preserve"> W, Pigeon O, </w:t>
      </w:r>
      <w:proofErr w:type="spellStart"/>
      <w:r w:rsidRPr="009B3B7E">
        <w:rPr>
          <w:lang w:val="en-US"/>
        </w:rPr>
        <w:t>Gimnig</w:t>
      </w:r>
      <w:proofErr w:type="spellEnd"/>
      <w:r w:rsidRPr="009B3B7E">
        <w:rPr>
          <w:lang w:val="en-US"/>
        </w:rPr>
        <w:t xml:space="preserve"> J, </w:t>
      </w:r>
      <w:proofErr w:type="spellStart"/>
      <w:r w:rsidRPr="009B3B7E">
        <w:rPr>
          <w:lang w:val="en-US"/>
        </w:rPr>
        <w:t>Atieli</w:t>
      </w:r>
      <w:proofErr w:type="spellEnd"/>
      <w:r w:rsidRPr="009B3B7E">
        <w:rPr>
          <w:lang w:val="en-US"/>
        </w:rPr>
        <w:t xml:space="preserve"> F, Koekemoer L, </w:t>
      </w:r>
      <w:proofErr w:type="spellStart"/>
      <w:r w:rsidRPr="009B3B7E">
        <w:rPr>
          <w:lang w:val="en-US"/>
        </w:rPr>
        <w:t>Ptotopopoff</w:t>
      </w:r>
      <w:proofErr w:type="spellEnd"/>
      <w:r w:rsidRPr="009B3B7E">
        <w:rPr>
          <w:lang w:val="en-US"/>
        </w:rPr>
        <w:t xml:space="preserve"> N: </w:t>
      </w:r>
      <w:r w:rsidRPr="009B3B7E">
        <w:rPr>
          <w:b/>
          <w:lang w:val="en-US"/>
        </w:rPr>
        <w:t>Evidence for a useful life of more than three years for a polyester-based long-lasting insecticidal mosquito net in Western Uganda</w:t>
      </w:r>
      <w:r w:rsidRPr="009B3B7E">
        <w:rPr>
          <w:lang w:val="en-US"/>
        </w:rPr>
        <w:t xml:space="preserve">. </w:t>
      </w:r>
      <w:proofErr w:type="spellStart"/>
      <w:r w:rsidRPr="009B3B7E">
        <w:rPr>
          <w:i/>
        </w:rPr>
        <w:t>Malar</w:t>
      </w:r>
      <w:proofErr w:type="spellEnd"/>
      <w:r w:rsidRPr="009B3B7E">
        <w:rPr>
          <w:i/>
        </w:rPr>
        <w:t xml:space="preserve"> J</w:t>
      </w:r>
      <w:r w:rsidRPr="009B3B7E">
        <w:t xml:space="preserve"> 2011, </w:t>
      </w:r>
      <w:proofErr w:type="gramStart"/>
      <w:r w:rsidRPr="009B3B7E">
        <w:rPr>
          <w:b/>
        </w:rPr>
        <w:t>10</w:t>
      </w:r>
      <w:r w:rsidRPr="009B3B7E">
        <w:t>:</w:t>
      </w:r>
      <w:proofErr w:type="gramEnd"/>
      <w:r w:rsidRPr="009B3B7E">
        <w:t>299.</w:t>
      </w:r>
    </w:p>
    <w:p w14:paraId="4743E5C9" w14:textId="77777777" w:rsidR="00A94470" w:rsidRPr="009B3B7E" w:rsidRDefault="00A94470" w:rsidP="00FC6E68">
      <w:pPr>
        <w:pStyle w:val="ListParagraph"/>
        <w:numPr>
          <w:ilvl w:val="0"/>
          <w:numId w:val="29"/>
        </w:numPr>
        <w:spacing w:line="240" w:lineRule="auto"/>
      </w:pPr>
      <w:r w:rsidRPr="009B3B7E">
        <w:rPr>
          <w:lang w:val="en-US"/>
        </w:rPr>
        <w:t>Mejía P, Teklehaimanot HD, Tesfaye Y, Teklehaimanot A:</w:t>
      </w:r>
      <w:r w:rsidRPr="009B3B7E">
        <w:rPr>
          <w:b/>
          <w:lang w:val="en-US"/>
        </w:rPr>
        <w:t xml:space="preserve"> Physical condition of Olyset nets after five years of utilization in rural western Kenya.</w:t>
      </w:r>
      <w:r w:rsidRPr="009B3B7E">
        <w:rPr>
          <w:lang w:val="en-US"/>
        </w:rPr>
        <w:t xml:space="preserve"> </w:t>
      </w:r>
      <w:proofErr w:type="spellStart"/>
      <w:r w:rsidRPr="009B3B7E">
        <w:rPr>
          <w:i/>
        </w:rPr>
        <w:t>Malar</w:t>
      </w:r>
      <w:proofErr w:type="spellEnd"/>
      <w:r w:rsidRPr="009B3B7E">
        <w:rPr>
          <w:i/>
        </w:rPr>
        <w:t xml:space="preserve"> J </w:t>
      </w:r>
      <w:r w:rsidRPr="009B3B7E">
        <w:t xml:space="preserve">2013, </w:t>
      </w:r>
      <w:proofErr w:type="gramStart"/>
      <w:r w:rsidRPr="009B3B7E">
        <w:rPr>
          <w:b/>
        </w:rPr>
        <w:t>12:</w:t>
      </w:r>
      <w:proofErr w:type="gramEnd"/>
      <w:r w:rsidRPr="009B3B7E">
        <w:t>158.</w:t>
      </w:r>
    </w:p>
    <w:p w14:paraId="12D32750" w14:textId="77777777" w:rsidR="00A94470" w:rsidRPr="009B3B7E" w:rsidRDefault="00A94470" w:rsidP="00FC6E68">
      <w:pPr>
        <w:pStyle w:val="ListParagraph"/>
        <w:numPr>
          <w:ilvl w:val="0"/>
          <w:numId w:val="29"/>
        </w:numPr>
        <w:spacing w:line="240" w:lineRule="auto"/>
      </w:pPr>
      <w:proofErr w:type="spellStart"/>
      <w:r w:rsidRPr="009B3B7E">
        <w:rPr>
          <w:lang w:val="en-US"/>
        </w:rPr>
        <w:t>Gnanguenon</w:t>
      </w:r>
      <w:proofErr w:type="spellEnd"/>
      <w:r w:rsidRPr="009B3B7E">
        <w:rPr>
          <w:lang w:val="en-US"/>
        </w:rPr>
        <w:t xml:space="preserve"> V, </w:t>
      </w:r>
      <w:proofErr w:type="spellStart"/>
      <w:r w:rsidRPr="009B3B7E">
        <w:rPr>
          <w:lang w:val="en-US"/>
        </w:rPr>
        <w:t>Azondekon</w:t>
      </w:r>
      <w:proofErr w:type="spellEnd"/>
      <w:r w:rsidRPr="009B3B7E">
        <w:rPr>
          <w:lang w:val="en-US"/>
        </w:rPr>
        <w:t xml:space="preserve"> R, </w:t>
      </w:r>
      <w:proofErr w:type="spellStart"/>
      <w:r w:rsidRPr="009B3B7E">
        <w:rPr>
          <w:lang w:val="en-US"/>
        </w:rPr>
        <w:t>Oke-Agbo</w:t>
      </w:r>
      <w:proofErr w:type="spellEnd"/>
      <w:r w:rsidRPr="009B3B7E">
        <w:rPr>
          <w:lang w:val="en-US"/>
        </w:rPr>
        <w:t xml:space="preserve"> F, Beach R, </w:t>
      </w:r>
      <w:proofErr w:type="spellStart"/>
      <w:r w:rsidRPr="009B3B7E">
        <w:rPr>
          <w:lang w:val="en-US"/>
        </w:rPr>
        <w:t>Akogbeto</w:t>
      </w:r>
      <w:proofErr w:type="spellEnd"/>
      <w:r w:rsidRPr="009B3B7E">
        <w:rPr>
          <w:lang w:val="en-US"/>
        </w:rPr>
        <w:t xml:space="preserve"> M: </w:t>
      </w:r>
      <w:r w:rsidRPr="009B3B7E">
        <w:rPr>
          <w:b/>
          <w:lang w:val="en-US"/>
        </w:rPr>
        <w:t xml:space="preserve">Durability assessment results suggest a serviceable life of two, rather than three years for the current long-lasting insecticidal (mosquito) net (LLIN) intervention in Benin. </w:t>
      </w:r>
      <w:proofErr w:type="spellStart"/>
      <w:r w:rsidRPr="009B3B7E">
        <w:rPr>
          <w:i/>
        </w:rPr>
        <w:t>Malar</w:t>
      </w:r>
      <w:proofErr w:type="spellEnd"/>
      <w:r w:rsidRPr="009B3B7E">
        <w:rPr>
          <w:i/>
        </w:rPr>
        <w:t xml:space="preserve"> J</w:t>
      </w:r>
      <w:r w:rsidRPr="009B3B7E">
        <w:t xml:space="preserve"> 2014, </w:t>
      </w:r>
      <w:proofErr w:type="gramStart"/>
      <w:r w:rsidRPr="009B3B7E">
        <w:rPr>
          <w:b/>
        </w:rPr>
        <w:t>14:</w:t>
      </w:r>
      <w:proofErr w:type="gramEnd"/>
      <w:r w:rsidRPr="009B3B7E">
        <w:t>69.</w:t>
      </w:r>
    </w:p>
    <w:p w14:paraId="4997F2FE" w14:textId="77777777" w:rsidR="00A94470" w:rsidRPr="009B3B7E" w:rsidRDefault="00A94470" w:rsidP="00FC6E68">
      <w:pPr>
        <w:pStyle w:val="ListParagraph"/>
        <w:numPr>
          <w:ilvl w:val="0"/>
          <w:numId w:val="29"/>
        </w:numPr>
        <w:spacing w:line="240" w:lineRule="auto"/>
      </w:pPr>
      <w:proofErr w:type="spellStart"/>
      <w:r w:rsidRPr="006E52D2">
        <w:rPr>
          <w:lang w:val="en-US"/>
        </w:rPr>
        <w:t>Hakizimana</w:t>
      </w:r>
      <w:proofErr w:type="spellEnd"/>
      <w:r w:rsidRPr="006E52D2">
        <w:rPr>
          <w:lang w:val="en-US"/>
        </w:rPr>
        <w:t xml:space="preserve"> E, Cyubahiro B, Rukundo A, </w:t>
      </w:r>
      <w:proofErr w:type="spellStart"/>
      <w:r w:rsidRPr="006E52D2">
        <w:rPr>
          <w:lang w:val="en-US"/>
        </w:rPr>
        <w:t>Kabayiza</w:t>
      </w:r>
      <w:proofErr w:type="spellEnd"/>
      <w:r w:rsidRPr="006E52D2">
        <w:rPr>
          <w:lang w:val="en-US"/>
        </w:rPr>
        <w:t xml:space="preserve"> A, </w:t>
      </w:r>
      <w:proofErr w:type="spellStart"/>
      <w:r w:rsidRPr="006E52D2">
        <w:rPr>
          <w:lang w:val="en-US"/>
        </w:rPr>
        <w:t>Mutabazi</w:t>
      </w:r>
      <w:proofErr w:type="spellEnd"/>
      <w:r w:rsidRPr="006E52D2">
        <w:rPr>
          <w:lang w:val="en-US"/>
        </w:rPr>
        <w:t xml:space="preserve"> A, Beach R, Patel R, </w:t>
      </w:r>
      <w:proofErr w:type="spellStart"/>
      <w:r w:rsidRPr="006E52D2">
        <w:rPr>
          <w:lang w:val="en-US"/>
        </w:rPr>
        <w:t>Tongren</w:t>
      </w:r>
      <w:proofErr w:type="spellEnd"/>
      <w:r w:rsidRPr="006E52D2">
        <w:rPr>
          <w:lang w:val="en-US"/>
        </w:rPr>
        <w:t xml:space="preserve"> JE, </w:t>
      </w:r>
      <w:proofErr w:type="spellStart"/>
      <w:r w:rsidRPr="006E52D2">
        <w:rPr>
          <w:lang w:val="en-US"/>
        </w:rPr>
        <w:t>Karema</w:t>
      </w:r>
      <w:proofErr w:type="spellEnd"/>
      <w:r w:rsidRPr="006E52D2">
        <w:rPr>
          <w:lang w:val="en-US"/>
        </w:rPr>
        <w:t xml:space="preserve"> C: </w:t>
      </w:r>
      <w:r w:rsidRPr="006E52D2">
        <w:rPr>
          <w:b/>
          <w:lang w:val="en-US"/>
        </w:rPr>
        <w:t>Monitoring long-lasting insecticidal net (LLIN) durability to validate net serviceable life assumptions, in Rwanda.</w:t>
      </w:r>
      <w:r w:rsidRPr="006E52D2">
        <w:rPr>
          <w:lang w:val="en-US"/>
        </w:rPr>
        <w:t xml:space="preserve"> </w:t>
      </w:r>
      <w:proofErr w:type="spellStart"/>
      <w:r w:rsidRPr="009B3B7E">
        <w:rPr>
          <w:i/>
        </w:rPr>
        <w:t>Malar</w:t>
      </w:r>
      <w:proofErr w:type="spellEnd"/>
      <w:r w:rsidRPr="009B3B7E">
        <w:rPr>
          <w:i/>
        </w:rPr>
        <w:t xml:space="preserve"> J </w:t>
      </w:r>
      <w:r w:rsidRPr="009B3B7E">
        <w:t xml:space="preserve">2014, </w:t>
      </w:r>
      <w:proofErr w:type="gramStart"/>
      <w:r w:rsidRPr="009B3B7E">
        <w:rPr>
          <w:b/>
        </w:rPr>
        <w:t>13:</w:t>
      </w:r>
      <w:proofErr w:type="gramEnd"/>
      <w:r w:rsidRPr="009B3B7E">
        <w:t>344.</w:t>
      </w:r>
    </w:p>
    <w:p w14:paraId="6551C653" w14:textId="5475B4E9" w:rsidR="00A94470" w:rsidRPr="009B3B7E" w:rsidRDefault="00A94470" w:rsidP="00FC6E68">
      <w:pPr>
        <w:pStyle w:val="ListParagraph"/>
        <w:numPr>
          <w:ilvl w:val="0"/>
          <w:numId w:val="29"/>
        </w:numPr>
        <w:spacing w:line="240" w:lineRule="auto"/>
      </w:pPr>
      <w:r w:rsidRPr="009B3B7E">
        <w:rPr>
          <w:lang w:val="en-US"/>
        </w:rPr>
        <w:t xml:space="preserve">Van </w:t>
      </w:r>
      <w:proofErr w:type="spellStart"/>
      <w:r w:rsidRPr="009B3B7E">
        <w:rPr>
          <w:lang w:val="en-US"/>
        </w:rPr>
        <w:t>Roey</w:t>
      </w:r>
      <w:proofErr w:type="spellEnd"/>
      <w:r w:rsidRPr="009B3B7E">
        <w:rPr>
          <w:lang w:val="en-US"/>
        </w:rPr>
        <w:t xml:space="preserve"> K, </w:t>
      </w:r>
      <w:proofErr w:type="spellStart"/>
      <w:r w:rsidRPr="009B3B7E">
        <w:rPr>
          <w:lang w:val="en-US"/>
        </w:rPr>
        <w:t>Sovannaroth</w:t>
      </w:r>
      <w:proofErr w:type="spellEnd"/>
      <w:r w:rsidRPr="009B3B7E">
        <w:rPr>
          <w:lang w:val="en-US"/>
        </w:rPr>
        <w:t xml:space="preserve"> S, </w:t>
      </w:r>
      <w:proofErr w:type="spellStart"/>
      <w:r w:rsidRPr="009B3B7E">
        <w:rPr>
          <w:lang w:val="en-US"/>
        </w:rPr>
        <w:t>Sochanta</w:t>
      </w:r>
      <w:proofErr w:type="spellEnd"/>
      <w:r w:rsidRPr="009B3B7E">
        <w:rPr>
          <w:lang w:val="en-US"/>
        </w:rPr>
        <w:t xml:space="preserve"> T, Touch MS, Pigeon O, </w:t>
      </w:r>
      <w:proofErr w:type="spellStart"/>
      <w:r w:rsidRPr="009B3B7E">
        <w:rPr>
          <w:lang w:val="en-US"/>
        </w:rPr>
        <w:t>Sluydts</w:t>
      </w:r>
      <w:proofErr w:type="spellEnd"/>
      <w:r w:rsidRPr="009B3B7E">
        <w:rPr>
          <w:lang w:val="en-US"/>
        </w:rPr>
        <w:t xml:space="preserve"> V, </w:t>
      </w:r>
      <w:proofErr w:type="spellStart"/>
      <w:r w:rsidRPr="009B3B7E">
        <w:rPr>
          <w:lang w:val="en-US"/>
        </w:rPr>
        <w:t>Durnez</w:t>
      </w:r>
      <w:proofErr w:type="spellEnd"/>
      <w:r w:rsidRPr="009B3B7E">
        <w:rPr>
          <w:lang w:val="en-US"/>
        </w:rPr>
        <w:t xml:space="preserve"> L, </w:t>
      </w:r>
      <w:proofErr w:type="spellStart"/>
      <w:r w:rsidRPr="009B3B7E">
        <w:rPr>
          <w:lang w:val="en-US"/>
        </w:rPr>
        <w:t>Coosemans</w:t>
      </w:r>
      <w:proofErr w:type="spellEnd"/>
      <w:r w:rsidRPr="009B3B7E">
        <w:rPr>
          <w:lang w:val="en-US"/>
        </w:rPr>
        <w:t xml:space="preserve"> M: </w:t>
      </w:r>
      <w:r w:rsidRPr="009B3B7E">
        <w:rPr>
          <w:b/>
          <w:lang w:val="en-US"/>
        </w:rPr>
        <w:t xml:space="preserve">A phase III trial to evaluate the efficacy, fabric integrity and community acceptance of </w:t>
      </w:r>
      <w:proofErr w:type="spellStart"/>
      <w:r w:rsidRPr="009B3B7E">
        <w:rPr>
          <w:b/>
          <w:lang w:val="en-US"/>
        </w:rPr>
        <w:t>Netprotect</w:t>
      </w:r>
      <w:proofErr w:type="spellEnd"/>
      <w:r w:rsidRPr="009B3B7E">
        <w:rPr>
          <w:b/>
          <w:lang w:val="en-US"/>
        </w:rPr>
        <w:t xml:space="preserve"> using a recommended insecticidal net as positive control. </w:t>
      </w:r>
      <w:proofErr w:type="spellStart"/>
      <w:r w:rsidRPr="009B3B7E">
        <w:rPr>
          <w:i/>
        </w:rPr>
        <w:t>Malar</w:t>
      </w:r>
      <w:proofErr w:type="spellEnd"/>
      <w:r w:rsidRPr="009B3B7E">
        <w:rPr>
          <w:i/>
        </w:rPr>
        <w:t xml:space="preserve"> J </w:t>
      </w:r>
      <w:r w:rsidRPr="009B3B7E">
        <w:t xml:space="preserve">2014, </w:t>
      </w:r>
      <w:proofErr w:type="gramStart"/>
      <w:r w:rsidRPr="009B3B7E">
        <w:rPr>
          <w:b/>
        </w:rPr>
        <w:t>13:</w:t>
      </w:r>
      <w:proofErr w:type="gramEnd"/>
      <w:r w:rsidRPr="009B3B7E">
        <w:t>256.</w:t>
      </w:r>
    </w:p>
    <w:p w14:paraId="15F5CE59" w14:textId="77777777" w:rsidR="006E6130" w:rsidRPr="009B3B7E" w:rsidRDefault="00C6123A" w:rsidP="00FC6E68">
      <w:pPr>
        <w:pStyle w:val="ListParagraph"/>
        <w:numPr>
          <w:ilvl w:val="0"/>
          <w:numId w:val="29"/>
        </w:numPr>
        <w:spacing w:line="240" w:lineRule="auto"/>
      </w:pPr>
      <w:proofErr w:type="spellStart"/>
      <w:r w:rsidRPr="009B3B7E">
        <w:rPr>
          <w:lang w:val="en-US"/>
        </w:rPr>
        <w:t>Koenker</w:t>
      </w:r>
      <w:proofErr w:type="spellEnd"/>
      <w:r w:rsidRPr="009B3B7E">
        <w:rPr>
          <w:lang w:val="en-US"/>
        </w:rPr>
        <w:t xml:space="preserve"> H, Kilian A, Hunter G, Acosta A, </w:t>
      </w:r>
      <w:proofErr w:type="spellStart"/>
      <w:r w:rsidRPr="009B3B7E">
        <w:rPr>
          <w:lang w:val="en-US"/>
        </w:rPr>
        <w:t>Scandurra</w:t>
      </w:r>
      <w:proofErr w:type="spellEnd"/>
      <w:r w:rsidRPr="009B3B7E">
        <w:rPr>
          <w:lang w:val="en-US"/>
        </w:rPr>
        <w:t xml:space="preserve"> L, </w:t>
      </w:r>
      <w:proofErr w:type="spellStart"/>
      <w:r w:rsidRPr="009B3B7E">
        <w:rPr>
          <w:lang w:val="en-US"/>
        </w:rPr>
        <w:t>Fagbemi</w:t>
      </w:r>
      <w:proofErr w:type="spellEnd"/>
      <w:r w:rsidRPr="009B3B7E">
        <w:rPr>
          <w:lang w:val="en-US"/>
        </w:rPr>
        <w:t xml:space="preserve"> B, </w:t>
      </w:r>
      <w:proofErr w:type="spellStart"/>
      <w:r w:rsidRPr="009B3B7E">
        <w:rPr>
          <w:lang w:val="en-US"/>
        </w:rPr>
        <w:t>Onyefunafoa</w:t>
      </w:r>
      <w:proofErr w:type="spellEnd"/>
      <w:r w:rsidRPr="009B3B7E">
        <w:rPr>
          <w:lang w:val="en-US"/>
        </w:rPr>
        <w:t xml:space="preserve"> EO, Fotheringham M, Lynch M: </w:t>
      </w:r>
      <w:r w:rsidRPr="009B3B7E">
        <w:rPr>
          <w:b/>
          <w:lang w:val="en-US"/>
        </w:rPr>
        <w:t xml:space="preserve">Impact of a </w:t>
      </w:r>
      <w:proofErr w:type="spellStart"/>
      <w:r w:rsidRPr="009B3B7E">
        <w:rPr>
          <w:b/>
          <w:lang w:val="en-US"/>
        </w:rPr>
        <w:t>behaviour</w:t>
      </w:r>
      <w:proofErr w:type="spellEnd"/>
      <w:r w:rsidRPr="009B3B7E">
        <w:rPr>
          <w:b/>
          <w:lang w:val="en-US"/>
        </w:rPr>
        <w:t xml:space="preserve"> change intervention on long-lasting insecticidal net care and repair </w:t>
      </w:r>
      <w:proofErr w:type="spellStart"/>
      <w:r w:rsidRPr="009B3B7E">
        <w:rPr>
          <w:b/>
          <w:lang w:val="en-US"/>
        </w:rPr>
        <w:t>behaviour</w:t>
      </w:r>
      <w:proofErr w:type="spellEnd"/>
      <w:r w:rsidRPr="009B3B7E">
        <w:rPr>
          <w:b/>
          <w:lang w:val="en-US"/>
        </w:rPr>
        <w:t xml:space="preserve"> and net condition in Nasarawa State, Nigeria</w:t>
      </w:r>
      <w:r w:rsidRPr="009B3B7E">
        <w:rPr>
          <w:lang w:val="en-US"/>
        </w:rPr>
        <w:t xml:space="preserve">. </w:t>
      </w:r>
      <w:r w:rsidRPr="009B3B7E">
        <w:rPr>
          <w:i/>
        </w:rPr>
        <w:t>Malaria Journal</w:t>
      </w:r>
      <w:r w:rsidRPr="009B3B7E">
        <w:t>, 2015,</w:t>
      </w:r>
      <w:proofErr w:type="gramStart"/>
      <w:r w:rsidRPr="009B3B7E">
        <w:rPr>
          <w:b/>
        </w:rPr>
        <w:t>14:</w:t>
      </w:r>
      <w:proofErr w:type="gramEnd"/>
      <w:r w:rsidRPr="009B3B7E">
        <w:t>18</w:t>
      </w:r>
    </w:p>
    <w:p w14:paraId="5CB464C3" w14:textId="216AB6DC" w:rsidR="00A94470" w:rsidRPr="009B3B7E" w:rsidRDefault="00A94470" w:rsidP="00FC6E68">
      <w:pPr>
        <w:pStyle w:val="ListParagraph"/>
        <w:numPr>
          <w:ilvl w:val="0"/>
          <w:numId w:val="29"/>
        </w:numPr>
        <w:spacing w:line="240" w:lineRule="auto"/>
        <w:rPr>
          <w:rFonts w:ascii="Calibri" w:hAnsi="Calibri" w:cs="Arial"/>
        </w:rPr>
      </w:pPr>
      <w:r w:rsidRPr="009B3B7E">
        <w:rPr>
          <w:rFonts w:ascii="Calibri" w:hAnsi="Calibri"/>
          <w:lang w:val="en-US"/>
        </w:rPr>
        <w:t xml:space="preserve">Morgan J, </w:t>
      </w:r>
      <w:proofErr w:type="spellStart"/>
      <w:r w:rsidRPr="009B3B7E">
        <w:rPr>
          <w:rFonts w:ascii="Calibri" w:hAnsi="Calibri"/>
          <w:lang w:val="en-US"/>
        </w:rPr>
        <w:t>Abílio</w:t>
      </w:r>
      <w:proofErr w:type="spellEnd"/>
      <w:r w:rsidRPr="009B3B7E">
        <w:rPr>
          <w:rFonts w:ascii="Calibri" w:hAnsi="Calibri"/>
          <w:lang w:val="en-US"/>
        </w:rPr>
        <w:t xml:space="preserve"> AP, do Rosario </w:t>
      </w:r>
      <w:proofErr w:type="spellStart"/>
      <w:r w:rsidRPr="009B3B7E">
        <w:rPr>
          <w:rFonts w:ascii="Calibri" w:hAnsi="Calibri"/>
          <w:lang w:val="en-US"/>
        </w:rPr>
        <w:t>Pondja</w:t>
      </w:r>
      <w:proofErr w:type="spellEnd"/>
      <w:r w:rsidRPr="009B3B7E">
        <w:rPr>
          <w:rFonts w:ascii="Calibri" w:hAnsi="Calibri"/>
          <w:lang w:val="en-US"/>
        </w:rPr>
        <w:t xml:space="preserve"> M, </w:t>
      </w:r>
      <w:proofErr w:type="spellStart"/>
      <w:r w:rsidRPr="009B3B7E">
        <w:rPr>
          <w:rFonts w:ascii="Calibri" w:hAnsi="Calibri"/>
          <w:lang w:val="en-US"/>
        </w:rPr>
        <w:t>Marrenjo</w:t>
      </w:r>
      <w:proofErr w:type="spellEnd"/>
      <w:r w:rsidRPr="009B3B7E">
        <w:rPr>
          <w:rFonts w:ascii="Calibri" w:hAnsi="Calibri"/>
          <w:lang w:val="en-US"/>
        </w:rPr>
        <w:t xml:space="preserve"> D, Luciano J, Fernandes G, </w:t>
      </w:r>
      <w:proofErr w:type="spellStart"/>
      <w:r w:rsidRPr="009B3B7E">
        <w:rPr>
          <w:rFonts w:ascii="Calibri" w:hAnsi="Calibri"/>
          <w:lang w:val="en-US"/>
        </w:rPr>
        <w:t>Sabindy</w:t>
      </w:r>
      <w:proofErr w:type="spellEnd"/>
      <w:r w:rsidRPr="009B3B7E">
        <w:rPr>
          <w:rFonts w:ascii="Calibri" w:hAnsi="Calibri"/>
          <w:lang w:val="en-US"/>
        </w:rPr>
        <w:t xml:space="preserve"> S, </w:t>
      </w:r>
      <w:proofErr w:type="spellStart"/>
      <w:r w:rsidRPr="009B3B7E">
        <w:rPr>
          <w:rFonts w:ascii="Calibri" w:hAnsi="Calibri"/>
          <w:lang w:val="en-US"/>
        </w:rPr>
        <w:t>Wolkon</w:t>
      </w:r>
      <w:proofErr w:type="spellEnd"/>
      <w:r w:rsidRPr="009B3B7E">
        <w:rPr>
          <w:rFonts w:ascii="Calibri" w:hAnsi="Calibri"/>
          <w:lang w:val="en-US"/>
        </w:rPr>
        <w:t xml:space="preserve"> A, Ponce de Leon G, Chan A, Vanden </w:t>
      </w:r>
      <w:proofErr w:type="spellStart"/>
      <w:r w:rsidRPr="009B3B7E">
        <w:rPr>
          <w:rFonts w:ascii="Calibri" w:hAnsi="Calibri"/>
          <w:lang w:val="en-US"/>
        </w:rPr>
        <w:t>Eng</w:t>
      </w:r>
      <w:proofErr w:type="spellEnd"/>
      <w:r w:rsidRPr="009B3B7E">
        <w:rPr>
          <w:rFonts w:ascii="Calibri" w:hAnsi="Calibri"/>
          <w:lang w:val="en-US"/>
        </w:rPr>
        <w:t xml:space="preserve"> J: </w:t>
      </w:r>
      <w:r w:rsidRPr="009B3B7E">
        <w:rPr>
          <w:rFonts w:ascii="Calibri" w:hAnsi="Calibri"/>
          <w:b/>
          <w:lang w:val="en-US"/>
        </w:rPr>
        <w:t>Physical durability of two types of long-lasting insecticidal nets (LLINs) three years after a mass LLIN distribution campaign in Mozambique, 2008-2011.</w:t>
      </w:r>
      <w:r w:rsidRPr="009B3B7E">
        <w:rPr>
          <w:rFonts w:ascii="Calibri" w:hAnsi="Calibri"/>
          <w:lang w:val="en-US"/>
        </w:rPr>
        <w:t xml:space="preserve"> </w:t>
      </w:r>
      <w:r w:rsidRPr="009B3B7E">
        <w:rPr>
          <w:rFonts w:ascii="Calibri" w:hAnsi="Calibri"/>
          <w:i/>
        </w:rPr>
        <w:t xml:space="preserve">Am J Trop Med </w:t>
      </w:r>
      <w:proofErr w:type="spellStart"/>
      <w:r w:rsidRPr="009B3B7E">
        <w:rPr>
          <w:rFonts w:ascii="Calibri" w:hAnsi="Calibri"/>
          <w:i/>
        </w:rPr>
        <w:t>Hyg</w:t>
      </w:r>
      <w:proofErr w:type="spellEnd"/>
      <w:r w:rsidRPr="009B3B7E">
        <w:rPr>
          <w:rFonts w:ascii="Calibri" w:hAnsi="Calibri"/>
        </w:rPr>
        <w:t xml:space="preserve"> 2014, </w:t>
      </w:r>
      <w:proofErr w:type="gramStart"/>
      <w:r w:rsidRPr="009B3B7E">
        <w:rPr>
          <w:rFonts w:ascii="Calibri" w:hAnsi="Calibri"/>
        </w:rPr>
        <w:t>doi:</w:t>
      </w:r>
      <w:proofErr w:type="gramEnd"/>
      <w:r w:rsidRPr="009B3B7E">
        <w:rPr>
          <w:rFonts w:ascii="Calibri" w:hAnsi="Calibri"/>
        </w:rPr>
        <w:t>10.4269/ajtmh.14-0023.</w:t>
      </w:r>
    </w:p>
    <w:p w14:paraId="0F8A62DC" w14:textId="57ED1796" w:rsidR="00096D72" w:rsidRPr="009B3B7E" w:rsidRDefault="00A94470" w:rsidP="009B3B7E">
      <w:pPr>
        <w:pStyle w:val="ListParagraph"/>
        <w:numPr>
          <w:ilvl w:val="0"/>
          <w:numId w:val="29"/>
        </w:numPr>
        <w:spacing w:line="240" w:lineRule="auto"/>
        <w:rPr>
          <w:rFonts w:ascii="Calibri" w:hAnsi="Calibri" w:cs="Arial"/>
          <w:lang w:val="en-US"/>
        </w:rPr>
      </w:pPr>
      <w:r w:rsidRPr="009B3B7E">
        <w:rPr>
          <w:rFonts w:ascii="Calibri" w:hAnsi="Calibri"/>
          <w:lang w:val="en-US"/>
        </w:rPr>
        <w:t xml:space="preserve">WHO: </w:t>
      </w:r>
      <w:r w:rsidRPr="009B3B7E">
        <w:rPr>
          <w:rFonts w:ascii="Calibri" w:hAnsi="Calibri"/>
          <w:b/>
          <w:lang w:val="en-US"/>
        </w:rPr>
        <w:t xml:space="preserve">Guidelines for laboratory and field testing of long‐lasting insecticidal </w:t>
      </w:r>
      <w:proofErr w:type="gramStart"/>
      <w:r w:rsidRPr="009B3B7E">
        <w:rPr>
          <w:rFonts w:ascii="Calibri" w:hAnsi="Calibri"/>
          <w:b/>
          <w:lang w:val="en-US"/>
        </w:rPr>
        <w:t>nets.</w:t>
      </w:r>
      <w:proofErr w:type="gramEnd"/>
      <w:r w:rsidRPr="009B3B7E">
        <w:rPr>
          <w:rFonts w:ascii="Calibri" w:hAnsi="Calibri"/>
          <w:lang w:val="en-US"/>
        </w:rPr>
        <w:t xml:space="preserve"> Geneva 2013, WHO/HTM/NTD/WHOPES/2013.3 </w:t>
      </w:r>
      <w:hyperlink r:id="rId21">
        <w:r w:rsidRPr="009B3B7E">
          <w:rPr>
            <w:rStyle w:val="Hyperlink"/>
            <w:rFonts w:ascii="Calibri" w:hAnsi="Calibri"/>
            <w:lang w:val="en-US"/>
          </w:rPr>
          <w:t>http://www.who.int/iris/bitstream/10665/80270/1/9789241505277_eng.pdf?ua=1</w:t>
        </w:r>
      </w:hyperlink>
    </w:p>
    <w:sectPr w:rsidR="00096D72" w:rsidRPr="009B3B7E" w:rsidSect="00096D72">
      <w:headerReference w:type="default" r:id="rId22"/>
      <w:footerReference w:type="even" r:id="rId23"/>
      <w:footerReference w:type="default" r:id="rId24"/>
      <w:headerReference w:type="first" r:id="rId25"/>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bert Kilian" w:date="2015-03-25T12:17:00Z" w:initials="AK">
    <w:p w14:paraId="23C9700F" w14:textId="10AA90A4" w:rsidR="001C4707" w:rsidRPr="006F7F32" w:rsidRDefault="001C4707">
      <w:pPr>
        <w:pStyle w:val="CommentText"/>
        <w:rPr>
          <w:lang w:val="en-US"/>
        </w:rPr>
      </w:pPr>
      <w:r w:rsidRPr="009B3B7E">
        <w:rPr>
          <w:rStyle w:val="CommentReference"/>
        </w:rPr>
        <w:annotationRef/>
      </w:r>
      <w:proofErr w:type="spellStart"/>
      <w:r w:rsidR="006F7F32" w:rsidRPr="006F7F32">
        <w:rPr>
          <w:rStyle w:val="CommentReference"/>
          <w:lang w:val="en-US"/>
        </w:rPr>
        <w:t>P</w:t>
      </w:r>
      <w:r w:rsidR="006F7F32">
        <w:rPr>
          <w:rStyle w:val="CommentReference"/>
          <w:lang w:val="en-US"/>
        </w:rPr>
        <w:t>ersonnali</w:t>
      </w:r>
      <w:r w:rsidR="00280102">
        <w:rPr>
          <w:rStyle w:val="CommentReference"/>
          <w:lang w:val="en-US"/>
        </w:rPr>
        <w:t>ser</w:t>
      </w:r>
      <w:proofErr w:type="spellEnd"/>
    </w:p>
  </w:comment>
  <w:comment w:id="3" w:author="Albert Kilian" w:date="2015-03-25T12:17:00Z" w:initials="AK">
    <w:p w14:paraId="01DCB3F0" w14:textId="2E6EC220" w:rsidR="001C4707" w:rsidRPr="009B3B7E" w:rsidRDefault="001C4707">
      <w:pPr>
        <w:pStyle w:val="CommentText"/>
        <w:rPr>
          <w:lang w:val="en-US"/>
        </w:rPr>
      </w:pPr>
      <w:r w:rsidRPr="009B3B7E">
        <w:rPr>
          <w:rStyle w:val="CommentReference"/>
        </w:rPr>
        <w:annotationRef/>
      </w:r>
      <w:proofErr w:type="spellStart"/>
      <w:r w:rsidR="00280102" w:rsidRPr="006F7F32">
        <w:rPr>
          <w:rStyle w:val="CommentReference"/>
          <w:lang w:val="en-US"/>
        </w:rPr>
        <w:t>P</w:t>
      </w:r>
      <w:r w:rsidR="00280102">
        <w:rPr>
          <w:rStyle w:val="CommentReference"/>
          <w:lang w:val="en-US"/>
        </w:rPr>
        <w:t>ersonnaliser</w:t>
      </w:r>
      <w:proofErr w:type="spellEnd"/>
    </w:p>
  </w:comment>
  <w:comment w:id="8" w:author="Albert Kilian" w:date="2015-03-25T12:17:00Z" w:initials="AK">
    <w:p w14:paraId="0AEFB26B" w14:textId="590D4D5B" w:rsidR="001C4707" w:rsidRPr="009B3B7E" w:rsidRDefault="001C4707">
      <w:pPr>
        <w:pStyle w:val="CommentText"/>
        <w:rPr>
          <w:lang w:val="en-US"/>
        </w:rPr>
      </w:pPr>
      <w:r w:rsidRPr="009B3B7E">
        <w:rPr>
          <w:rStyle w:val="CommentReference"/>
        </w:rPr>
        <w:annotationRef/>
      </w:r>
      <w:proofErr w:type="spellStart"/>
      <w:r w:rsidR="00280102" w:rsidRPr="006F7F32">
        <w:rPr>
          <w:rStyle w:val="CommentReference"/>
          <w:lang w:val="en-US"/>
        </w:rPr>
        <w:t>P</w:t>
      </w:r>
      <w:r w:rsidR="00280102">
        <w:rPr>
          <w:rStyle w:val="CommentReference"/>
          <w:lang w:val="en-US"/>
        </w:rPr>
        <w:t>ersonnaliser</w:t>
      </w:r>
      <w:proofErr w:type="spellEnd"/>
    </w:p>
  </w:comment>
  <w:comment w:id="9" w:author="Albert Kilian" w:date="2015-03-25T12:17:00Z" w:initials="AK">
    <w:p w14:paraId="289C5724" w14:textId="337F5FED" w:rsidR="001C4707" w:rsidRPr="009B3B7E" w:rsidRDefault="001C4707">
      <w:pPr>
        <w:pStyle w:val="CommentText"/>
        <w:rPr>
          <w:lang w:val="en-US"/>
        </w:rPr>
      </w:pPr>
      <w:r w:rsidRPr="009B3B7E">
        <w:rPr>
          <w:rStyle w:val="CommentReference"/>
        </w:rPr>
        <w:annotationRef/>
      </w:r>
      <w:proofErr w:type="spellStart"/>
      <w:r w:rsidR="00280102" w:rsidRPr="006F7F32">
        <w:rPr>
          <w:rStyle w:val="CommentReference"/>
          <w:lang w:val="en-US"/>
        </w:rPr>
        <w:t>P</w:t>
      </w:r>
      <w:r w:rsidR="00280102">
        <w:rPr>
          <w:rStyle w:val="CommentReference"/>
          <w:lang w:val="en-US"/>
        </w:rPr>
        <w:t>ersonnaliser</w:t>
      </w:r>
      <w:proofErr w:type="spellEnd"/>
    </w:p>
  </w:comment>
  <w:comment w:id="10" w:author="Albert Kilian" w:date="2015-03-25T12:17:00Z" w:initials="AK">
    <w:p w14:paraId="10C7C741" w14:textId="67DBA8D9" w:rsidR="001C4707" w:rsidRPr="009B3B7E" w:rsidRDefault="001C4707">
      <w:pPr>
        <w:pStyle w:val="CommentText"/>
        <w:rPr>
          <w:lang w:val="en-US"/>
        </w:rPr>
      </w:pPr>
      <w:r w:rsidRPr="009B3B7E">
        <w:rPr>
          <w:rStyle w:val="CommentReference"/>
        </w:rPr>
        <w:annotationRef/>
      </w:r>
      <w:proofErr w:type="spellStart"/>
      <w:r w:rsidRPr="009B3B7E">
        <w:rPr>
          <w:lang w:val="en-US"/>
        </w:rPr>
        <w:t>optio</w:t>
      </w:r>
      <w:r w:rsidR="00280102">
        <w:rPr>
          <w:lang w:val="en-US"/>
        </w:rPr>
        <w:t>nnel</w:t>
      </w:r>
      <w:proofErr w:type="spellEnd"/>
    </w:p>
  </w:comment>
  <w:comment w:id="11" w:author="Albert Kilian" w:date="2015-03-25T12:17:00Z" w:initials="AK">
    <w:p w14:paraId="51BE2014" w14:textId="34E19EA3" w:rsidR="001C4707" w:rsidRPr="009B3B7E" w:rsidRDefault="001C4707">
      <w:pPr>
        <w:pStyle w:val="CommentText"/>
        <w:rPr>
          <w:vanish/>
          <w:lang w:val="en-US"/>
        </w:rPr>
      </w:pPr>
      <w:r w:rsidRPr="009B3B7E">
        <w:rPr>
          <w:rStyle w:val="CommentReference"/>
          <w:vanish/>
        </w:rPr>
        <w:annotationRef/>
      </w:r>
      <w:r w:rsidRPr="009B3B7E">
        <w:rPr>
          <w:vanish/>
          <w:lang w:val="en-US"/>
        </w:rPr>
        <w:t>customize</w:t>
      </w:r>
    </w:p>
  </w:comment>
  <w:comment w:id="12" w:author="Albert Kilian" w:date="2015-03-25T12:17:00Z" w:initials="AK">
    <w:p w14:paraId="5B33C245" w14:textId="02022FFF" w:rsidR="001C4707" w:rsidRPr="004351A1" w:rsidRDefault="001C4707">
      <w:pPr>
        <w:pStyle w:val="CommentText"/>
      </w:pPr>
      <w:r w:rsidRPr="009B3B7E">
        <w:rPr>
          <w:rStyle w:val="CommentReference"/>
        </w:rPr>
        <w:annotationRef/>
      </w:r>
      <w:proofErr w:type="gramStart"/>
      <w:r w:rsidRPr="004351A1">
        <w:t>option</w:t>
      </w:r>
      <w:r w:rsidR="004351A1" w:rsidRPr="004351A1">
        <w:t>nel</w:t>
      </w:r>
      <w:proofErr w:type="gramEnd"/>
    </w:p>
  </w:comment>
  <w:comment w:id="15" w:author="Albert Kilian" w:date="2015-03-25T12:17:00Z" w:initials="AK">
    <w:p w14:paraId="6BB0B55B" w14:textId="5EFE8455" w:rsidR="001C4707" w:rsidRPr="004351A1" w:rsidRDefault="001C4707">
      <w:pPr>
        <w:pStyle w:val="CommentText"/>
      </w:pPr>
      <w:r w:rsidRPr="009B3B7E">
        <w:rPr>
          <w:rStyle w:val="CommentReference"/>
        </w:rPr>
        <w:annotationRef/>
      </w:r>
      <w:r w:rsidR="00280102" w:rsidRPr="004351A1">
        <w:t>Personnaliser</w:t>
      </w:r>
    </w:p>
  </w:comment>
  <w:comment w:id="16" w:author="Albert Kilian" w:date="2015-03-25T12:17:00Z" w:initials="AK">
    <w:p w14:paraId="752A55F2" w14:textId="1F74664A" w:rsidR="001C4707" w:rsidRPr="004351A1" w:rsidRDefault="001C4707">
      <w:pPr>
        <w:pStyle w:val="CommentText"/>
      </w:pPr>
      <w:r w:rsidRPr="009B3B7E">
        <w:rPr>
          <w:rStyle w:val="CommentReference"/>
        </w:rPr>
        <w:annotationRef/>
      </w:r>
      <w:proofErr w:type="gramStart"/>
      <w:r w:rsidRPr="004351A1">
        <w:t>option</w:t>
      </w:r>
      <w:r w:rsidR="004351A1" w:rsidRPr="004351A1">
        <w:t>nel</w:t>
      </w:r>
      <w:proofErr w:type="gramEnd"/>
    </w:p>
  </w:comment>
  <w:comment w:id="17" w:author="Albert Kilian" w:date="2015-03-25T12:17:00Z" w:initials="AK">
    <w:p w14:paraId="743028B6" w14:textId="7035D9D6" w:rsidR="001C4707" w:rsidRPr="004351A1" w:rsidRDefault="001C4707">
      <w:pPr>
        <w:pStyle w:val="CommentText"/>
      </w:pPr>
      <w:r w:rsidRPr="009B3B7E">
        <w:rPr>
          <w:rStyle w:val="CommentReference"/>
        </w:rPr>
        <w:annotationRef/>
      </w:r>
      <w:proofErr w:type="gramStart"/>
      <w:r w:rsidRPr="004351A1">
        <w:t>option</w:t>
      </w:r>
      <w:r w:rsidR="004351A1" w:rsidRPr="004351A1">
        <w:t>nel</w:t>
      </w:r>
      <w:proofErr w:type="gramEnd"/>
    </w:p>
  </w:comment>
  <w:comment w:id="22" w:author="Albert Kilian" w:date="2015-10-01T14:21:00Z" w:initials="AK">
    <w:p w14:paraId="28D63CB0" w14:textId="192A0CED" w:rsidR="001C4707" w:rsidRPr="004351A1" w:rsidRDefault="001C4707">
      <w:pPr>
        <w:pStyle w:val="CommentText"/>
      </w:pPr>
      <w:r w:rsidRPr="009B3B7E">
        <w:rPr>
          <w:rStyle w:val="CommentReference"/>
        </w:rPr>
        <w:annotationRef/>
      </w:r>
      <w:r w:rsidR="004351A1" w:rsidRPr="004351A1">
        <w:t>Personnaliser</w:t>
      </w:r>
      <w:r w:rsidRPr="004351A1">
        <w:t xml:space="preserve"> – 2 sites </w:t>
      </w:r>
      <w:r w:rsidR="004351A1">
        <w:t>sont</w:t>
      </w:r>
      <w:r w:rsidR="005A64F1">
        <w:t xml:space="preserve"> assume</w:t>
      </w:r>
    </w:p>
  </w:comment>
  <w:comment w:id="23" w:author="Albert Kilian" w:date="2015-10-01T14:21:00Z" w:initials="AK">
    <w:p w14:paraId="7696BB6F" w14:textId="5C1BB3BA" w:rsidR="001C4707" w:rsidRPr="00A223B9" w:rsidRDefault="005A64F1">
      <w:pPr>
        <w:pStyle w:val="CommentText"/>
        <w:rPr>
          <w:lang w:val="en-US"/>
        </w:rPr>
      </w:pPr>
      <w:proofErr w:type="spellStart"/>
      <w:r w:rsidRPr="00A223B9">
        <w:rPr>
          <w:rStyle w:val="CommentReference"/>
          <w:lang w:val="en-US"/>
        </w:rPr>
        <w:t>Personnaliser</w:t>
      </w:r>
      <w:proofErr w:type="spellEnd"/>
    </w:p>
  </w:comment>
  <w:comment w:id="26" w:author="Albert Kilian" w:date="2015-03-25T12:17:00Z" w:initials="AK">
    <w:p w14:paraId="0FA19221" w14:textId="6B2C5696" w:rsidR="001C4707" w:rsidRPr="009B3B7E" w:rsidRDefault="001C4707">
      <w:pPr>
        <w:pStyle w:val="CommentText"/>
        <w:rPr>
          <w:lang w:val="en-US"/>
        </w:rPr>
      </w:pPr>
      <w:r w:rsidRPr="009B3B7E">
        <w:rPr>
          <w:rStyle w:val="CommentReference"/>
        </w:rPr>
        <w:annotationRef/>
      </w:r>
      <w:proofErr w:type="spellStart"/>
      <w:r w:rsidR="005A64F1">
        <w:rPr>
          <w:lang w:val="en-US"/>
        </w:rPr>
        <w:t>Optionnel</w:t>
      </w:r>
      <w:proofErr w:type="spellEnd"/>
    </w:p>
  </w:comment>
  <w:comment w:id="27" w:author="Hannah Koenker" w:date="2015-10-01T14:11:00Z" w:initials="HK">
    <w:p w14:paraId="1B8BF081" w14:textId="3C8B3EC6" w:rsidR="001C4707" w:rsidRPr="009B3B7E" w:rsidRDefault="001C4707">
      <w:pPr>
        <w:pStyle w:val="CommentText"/>
        <w:rPr>
          <w:lang w:val="en-US"/>
        </w:rPr>
      </w:pPr>
      <w:r w:rsidRPr="009B3B7E">
        <w:rPr>
          <w:rStyle w:val="CommentReference"/>
        </w:rPr>
        <w:annotationRef/>
      </w:r>
      <w:r w:rsidRPr="009B3B7E">
        <w:rPr>
          <w:lang w:val="en-US"/>
        </w:rPr>
        <w:t>Delete the graphic that does not apply.</w:t>
      </w:r>
    </w:p>
  </w:comment>
  <w:comment w:id="30" w:author="Albert Kilian" w:date="2015-03-25T12:17:00Z" w:initials="AK">
    <w:p w14:paraId="446FB8C1" w14:textId="296C9071" w:rsidR="001C4707" w:rsidRPr="009E6EA2" w:rsidRDefault="001C4707">
      <w:pPr>
        <w:pStyle w:val="CommentText"/>
      </w:pPr>
      <w:r w:rsidRPr="009B3B7E">
        <w:rPr>
          <w:rStyle w:val="CommentReference"/>
        </w:rPr>
        <w:annotationRef/>
      </w:r>
      <w:r w:rsidR="0086569D">
        <w:t>Personnaliser</w:t>
      </w:r>
    </w:p>
  </w:comment>
  <w:comment w:id="33" w:author="Alisse Palmer" w:date="2022-03-10T14:52:00Z" w:initials="AP">
    <w:p w14:paraId="2A36D970" w14:textId="63466DDD" w:rsidR="00E2350B" w:rsidRDefault="00E2350B">
      <w:pPr>
        <w:pStyle w:val="CommentText"/>
      </w:pPr>
      <w:r>
        <w:rPr>
          <w:rStyle w:val="CommentReference"/>
        </w:rPr>
        <w:annotationRef/>
      </w:r>
      <w:r w:rsidR="002231D1" w:rsidRPr="002231D1">
        <w:t>Dépendra du nombre total de sites surveillés ; cela suppose deux sites.</w:t>
      </w:r>
      <w:r w:rsidR="002231D1">
        <w:t xml:space="preserve"> </w:t>
      </w:r>
      <w:r w:rsidR="00514CB8" w:rsidRPr="00514CB8">
        <w:t>Utilisez le fichier 2h. Calculateur de taille d'échantillon pour mettre à jour ces chiffres.</w:t>
      </w:r>
    </w:p>
  </w:comment>
  <w:comment w:id="36" w:author="Alisse Palmer" w:date="2022-03-10T14:53:00Z" w:initials="AP">
    <w:p w14:paraId="022CAA1A" w14:textId="156BCAEF" w:rsidR="00D05047" w:rsidRDefault="00D05047">
      <w:pPr>
        <w:pStyle w:val="CommentText"/>
      </w:pPr>
      <w:r>
        <w:rPr>
          <w:rStyle w:val="CommentReference"/>
        </w:rPr>
        <w:annotationRef/>
      </w:r>
      <w:r>
        <w:t xml:space="preserve">Effacer si les </w:t>
      </w:r>
      <w:r w:rsidR="00E75ECC">
        <w:t>essaies biologiques</w:t>
      </w:r>
      <w:r>
        <w:t xml:space="preserve"> ne sont pas possible dans</w:t>
      </w:r>
      <w:r w:rsidR="00E75ECC">
        <w:t xml:space="preserve"> le pays</w:t>
      </w:r>
    </w:p>
  </w:comment>
  <w:comment w:id="37" w:author="Alisse Palmer" w:date="2022-03-10T14:58:00Z" w:initials="AP">
    <w:p w14:paraId="039E1B6A" w14:textId="239B4C98" w:rsidR="00056770" w:rsidRDefault="00056770">
      <w:pPr>
        <w:pStyle w:val="CommentText"/>
      </w:pPr>
      <w:r>
        <w:rPr>
          <w:rStyle w:val="CommentReference"/>
        </w:rPr>
        <w:annotationRef/>
      </w:r>
      <w:r w:rsidR="00AD1C84">
        <w:t xml:space="preserve">Personnaliser </w:t>
      </w:r>
      <w:r w:rsidR="009311E4">
        <w:t xml:space="preserve">sur la base du nombre total des sites. Supprimer seulement sil les échantillons de trois ans sont </w:t>
      </w:r>
      <w:r w:rsidR="00BC5175">
        <w:t xml:space="preserve">pris. </w:t>
      </w:r>
    </w:p>
  </w:comment>
  <w:comment w:id="38" w:author="Albert Kilian" w:date="2015-03-25T12:17:00Z" w:initials="AK">
    <w:p w14:paraId="2CF476C0" w14:textId="19BA1506" w:rsidR="001C4707" w:rsidRPr="00D05047" w:rsidRDefault="001C4707">
      <w:pPr>
        <w:pStyle w:val="CommentText"/>
      </w:pPr>
      <w:r w:rsidRPr="009B3B7E">
        <w:rPr>
          <w:rStyle w:val="CommentReference"/>
        </w:rPr>
        <w:annotationRef/>
      </w:r>
      <w:r w:rsidR="0086569D">
        <w:t>Personnaliser</w:t>
      </w:r>
    </w:p>
  </w:comment>
  <w:comment w:id="43" w:author="Albert Kilian" w:date="2015-03-25T12:17:00Z" w:initials="AK">
    <w:p w14:paraId="7763C19A" w14:textId="7D3A5F9F" w:rsidR="001C4707" w:rsidRPr="009E6EA2" w:rsidRDefault="001C4707">
      <w:pPr>
        <w:pStyle w:val="CommentText"/>
      </w:pPr>
      <w:r w:rsidRPr="009B3B7E">
        <w:rPr>
          <w:rStyle w:val="CommentReference"/>
        </w:rPr>
        <w:annotationRef/>
      </w:r>
      <w:r w:rsidR="0086569D">
        <w:t>Personnaliser</w:t>
      </w:r>
    </w:p>
  </w:comment>
  <w:comment w:id="48" w:author="Alisse Palmer" w:date="2022-03-10T15:12:00Z" w:initials="AP">
    <w:p w14:paraId="3CC2D0FB" w14:textId="268AE2D0" w:rsidR="00321E94" w:rsidRDefault="00321E94">
      <w:pPr>
        <w:pStyle w:val="CommentText"/>
      </w:pPr>
      <w:r>
        <w:rPr>
          <w:rStyle w:val="CommentReference"/>
        </w:rPr>
        <w:annotationRef/>
      </w:r>
      <w:r w:rsidRPr="00321E94">
        <w:t>Supprimer s'il n'y a pas de marquage de la cohorte d'essai biologique au départ.</w:t>
      </w:r>
    </w:p>
  </w:comment>
  <w:comment w:id="53" w:author="Albert Kilian" w:date="2015-03-25T12:17:00Z" w:initials="AK">
    <w:p w14:paraId="342BEE2C" w14:textId="2DB0F972" w:rsidR="001C4707" w:rsidRPr="00600E04" w:rsidRDefault="001C4707">
      <w:pPr>
        <w:pStyle w:val="CommentText"/>
      </w:pPr>
      <w:r w:rsidRPr="009B3B7E">
        <w:rPr>
          <w:rStyle w:val="CommentReference"/>
        </w:rPr>
        <w:annotationRef/>
      </w:r>
      <w:r w:rsidR="0086569D">
        <w:t>Personnaliser</w:t>
      </w:r>
    </w:p>
  </w:comment>
  <w:comment w:id="54" w:author="Hannah Koenker" w:date="2015-03-25T12:17:00Z" w:initials="HK">
    <w:p w14:paraId="33FA5610" w14:textId="29B20EF8" w:rsidR="001C4707" w:rsidRPr="00600E04" w:rsidRDefault="001C4707">
      <w:pPr>
        <w:pStyle w:val="CommentText"/>
      </w:pPr>
      <w:r w:rsidRPr="009B3B7E">
        <w:rPr>
          <w:rStyle w:val="CommentReference"/>
        </w:rPr>
        <w:annotationRef/>
      </w:r>
      <w:r w:rsidR="0086569D">
        <w:t>Personnaliser</w:t>
      </w:r>
    </w:p>
  </w:comment>
  <w:comment w:id="55" w:author="Hannah Koenker" w:date="2015-03-25T12:17:00Z" w:initials="HK">
    <w:p w14:paraId="030F611C" w14:textId="3F514781" w:rsidR="001C4707" w:rsidRPr="00600E04" w:rsidRDefault="001C4707">
      <w:pPr>
        <w:pStyle w:val="CommentText"/>
      </w:pPr>
      <w:r w:rsidRPr="009B3B7E">
        <w:rPr>
          <w:rStyle w:val="CommentReference"/>
        </w:rPr>
        <w:annotationRef/>
      </w:r>
      <w:r w:rsidR="0086569D">
        <w:t>Personnaliser</w:t>
      </w:r>
    </w:p>
  </w:comment>
  <w:comment w:id="56" w:author="Albert Kilian" w:date="2015-03-25T12:17:00Z" w:initials="AK">
    <w:p w14:paraId="145CCD60" w14:textId="181CB971" w:rsidR="001C4707" w:rsidRPr="00600E04" w:rsidRDefault="001C4707">
      <w:pPr>
        <w:pStyle w:val="CommentText"/>
      </w:pPr>
      <w:r w:rsidRPr="009B3B7E">
        <w:rPr>
          <w:rStyle w:val="CommentReference"/>
        </w:rPr>
        <w:annotationRef/>
      </w:r>
      <w:r w:rsidR="0086569D">
        <w:t>Personnaliser</w:t>
      </w:r>
    </w:p>
  </w:comment>
  <w:comment w:id="59" w:author="Hannah Koenker" w:date="2015-10-01T14:35:00Z" w:initials="HK">
    <w:p w14:paraId="50990FB7" w14:textId="24984B04" w:rsidR="001C4707" w:rsidRPr="00600E04" w:rsidRDefault="001C4707">
      <w:pPr>
        <w:pStyle w:val="CommentText"/>
      </w:pPr>
      <w:r w:rsidRPr="009B3B7E">
        <w:rPr>
          <w:rStyle w:val="CommentReference"/>
        </w:rPr>
        <w:annotationRef/>
      </w:r>
      <w:r w:rsidR="00600E04" w:rsidRPr="00600E04">
        <w:t>Il peut être moins cher ou plus faisable de former une seule équipe de terrain, selon la géographie ; ajustez ce paragraphe si nécessaire.</w:t>
      </w:r>
    </w:p>
  </w:comment>
  <w:comment w:id="60" w:author="Alisse Palmer" w:date="2022-03-11T13:52:00Z" w:initials="AP">
    <w:p w14:paraId="2CEF757D" w14:textId="3027BAAD" w:rsidR="009E6EA2" w:rsidRPr="00B1592D" w:rsidRDefault="009E6EA2">
      <w:pPr>
        <w:pStyle w:val="CommentText"/>
      </w:pPr>
      <w:r>
        <w:rPr>
          <w:rStyle w:val="CommentReference"/>
        </w:rPr>
        <w:annotationRef/>
      </w:r>
      <w:r w:rsidR="00B1592D" w:rsidRPr="00B1592D">
        <w:t>Supprimer s'il n'y a pas de marquage d'une cohorte distincte de moustiquaires pour essais biologiques au départ.</w:t>
      </w:r>
    </w:p>
  </w:comment>
  <w:comment w:id="61" w:author="Alisse Palmer" w:date="2022-03-11T13:53:00Z" w:initials="AP">
    <w:p w14:paraId="565F41D0" w14:textId="1C181B7C" w:rsidR="00910BFB" w:rsidRDefault="00910BFB">
      <w:pPr>
        <w:pStyle w:val="CommentText"/>
      </w:pPr>
      <w:r>
        <w:rPr>
          <w:rStyle w:val="CommentReference"/>
        </w:rPr>
        <w:annotationRef/>
      </w:r>
      <w:r w:rsidRPr="00910BFB">
        <w:t>Supprimer s'il n'y a pas de marquage d'une cohorte distincte de moustiquaires pour essais biologiques au départ.</w:t>
      </w:r>
    </w:p>
  </w:comment>
  <w:comment w:id="66" w:author="Alisse Palmer" w:date="2022-03-11T13:57:00Z" w:initials="AP">
    <w:p w14:paraId="6A8CC0B0" w14:textId="07F2AEB5" w:rsidR="00C821AC" w:rsidRDefault="00C821AC">
      <w:pPr>
        <w:pStyle w:val="CommentText"/>
      </w:pPr>
      <w:r>
        <w:rPr>
          <w:rStyle w:val="CommentReference"/>
        </w:rPr>
        <w:annotationRef/>
      </w:r>
      <w:r w:rsidR="001B7501">
        <w:t xml:space="preserve">Supprimer si les essaies biologiques ne sont pas </w:t>
      </w:r>
      <w:r w:rsidR="006B5FFB">
        <w:t>disponible dans le pays</w:t>
      </w:r>
    </w:p>
  </w:comment>
  <w:comment w:id="67" w:author="Hannah Koenker" w:date="2015-03-25T12:17:00Z" w:initials="HK">
    <w:p w14:paraId="473FA8FA" w14:textId="79FEEB4B" w:rsidR="001C4707" w:rsidRPr="00600E04" w:rsidRDefault="001C4707">
      <w:pPr>
        <w:pStyle w:val="CommentText"/>
      </w:pPr>
      <w:r w:rsidRPr="009B3B7E">
        <w:rPr>
          <w:rStyle w:val="CommentReference"/>
        </w:rPr>
        <w:annotationRef/>
      </w:r>
      <w:r w:rsidR="00600E04" w:rsidRPr="00600E04">
        <w:t>Personnaliser</w:t>
      </w:r>
    </w:p>
  </w:comment>
  <w:comment w:id="70" w:author="Hannah Koenker" w:date="2015-03-25T12:17:00Z" w:initials="HK">
    <w:p w14:paraId="70425523" w14:textId="7C8F94FA" w:rsidR="001C4707" w:rsidRPr="00600E04" w:rsidRDefault="001C4707">
      <w:pPr>
        <w:pStyle w:val="CommentText"/>
      </w:pPr>
      <w:r w:rsidRPr="009B3B7E">
        <w:rPr>
          <w:rStyle w:val="CommentReference"/>
        </w:rPr>
        <w:annotationRef/>
      </w:r>
      <w:r w:rsidR="00600E04" w:rsidRPr="00600E04">
        <w:t>Personnaliser</w:t>
      </w:r>
    </w:p>
  </w:comment>
  <w:comment w:id="71" w:author="Albert Kilian" w:date="2015-03-25T12:17:00Z" w:initials="AK">
    <w:p w14:paraId="3BC90325" w14:textId="2A6A536C" w:rsidR="001C4707" w:rsidRPr="00600E04" w:rsidRDefault="001C4707">
      <w:pPr>
        <w:pStyle w:val="CommentText"/>
      </w:pPr>
      <w:r w:rsidRPr="009B3B7E">
        <w:rPr>
          <w:rStyle w:val="CommentReference"/>
        </w:rPr>
        <w:annotationRef/>
      </w:r>
      <w:r w:rsidR="00600E04" w:rsidRPr="00600E04">
        <w:t>Personnaliser</w:t>
      </w:r>
    </w:p>
  </w:comment>
  <w:comment w:id="72" w:author="Albert Kilian" w:date="2015-03-25T12:17:00Z" w:initials="AK">
    <w:p w14:paraId="298A7DC8" w14:textId="3F0CF890" w:rsidR="001C4707" w:rsidRPr="00600E04" w:rsidRDefault="001C4707">
      <w:pPr>
        <w:pStyle w:val="CommentText"/>
      </w:pPr>
      <w:r w:rsidRPr="009B3B7E">
        <w:rPr>
          <w:rStyle w:val="CommentReference"/>
        </w:rPr>
        <w:annotationRef/>
      </w:r>
      <w:r w:rsidR="00600E04" w:rsidRPr="00600E04">
        <w:t>Personnaliser</w:t>
      </w:r>
    </w:p>
  </w:comment>
  <w:comment w:id="73" w:author="Albert Kilian" w:date="2015-03-25T12:17:00Z" w:initials="AK">
    <w:p w14:paraId="4108253E" w14:textId="2365F13C" w:rsidR="001C4707" w:rsidRPr="00600E04" w:rsidRDefault="001C4707">
      <w:pPr>
        <w:pStyle w:val="CommentText"/>
      </w:pPr>
      <w:r w:rsidRPr="009B3B7E">
        <w:rPr>
          <w:rStyle w:val="CommentReference"/>
        </w:rPr>
        <w:annotationRef/>
      </w:r>
      <w:r w:rsidR="00600E04" w:rsidRPr="00600E04">
        <w:t>Personnaliser</w:t>
      </w:r>
    </w:p>
  </w:comment>
  <w:comment w:id="100" w:author="Hannah Koenker" w:date="2015-03-25T12:17:00Z" w:initials="HK">
    <w:p w14:paraId="33F590DC" w14:textId="38ADFB4B" w:rsidR="001C4707" w:rsidRPr="009B3B7E" w:rsidRDefault="001C4707">
      <w:pPr>
        <w:pStyle w:val="CommentText"/>
      </w:pPr>
      <w:r w:rsidRPr="009B3B7E">
        <w:rPr>
          <w:rStyle w:val="CommentReference"/>
        </w:rPr>
        <w:annotationRef/>
      </w:r>
      <w:proofErr w:type="spellStart"/>
      <w:r w:rsidR="00600E04">
        <w:rPr>
          <w:lang w:val="en-US"/>
        </w:rPr>
        <w:t>Personnaliser</w:t>
      </w:r>
      <w:proofErr w:type="spellEnd"/>
    </w:p>
  </w:comment>
  <w:comment w:id="105" w:author="Albert Kilian" w:date="2015-03-25T12:17:00Z" w:initials="AK">
    <w:p w14:paraId="6EC31DCA" w14:textId="7668F783" w:rsidR="001C4707" w:rsidRPr="009B3B7E" w:rsidRDefault="001C4707" w:rsidP="006E6130">
      <w:pPr>
        <w:pStyle w:val="CommentText"/>
        <w:jc w:val="both"/>
      </w:pPr>
      <w:r w:rsidRPr="009B3B7E">
        <w:rPr>
          <w:rStyle w:val="CommentReference"/>
        </w:rPr>
        <w:annotationRef/>
      </w:r>
      <w:proofErr w:type="spellStart"/>
      <w:r w:rsidR="00600E04">
        <w:rPr>
          <w:lang w:val="en-US"/>
        </w:rPr>
        <w:t>Personnaliser</w:t>
      </w:r>
      <w:proofErr w:type="spellEnd"/>
    </w:p>
  </w:comment>
  <w:comment w:id="106" w:author="Albert Kilian" w:date="2015-03-25T12:17:00Z" w:initials="AK">
    <w:p w14:paraId="4E5AAE5E" w14:textId="0A3ACF09" w:rsidR="001C4707" w:rsidRPr="009B3B7E" w:rsidRDefault="001C4707">
      <w:pPr>
        <w:pStyle w:val="CommentText"/>
      </w:pPr>
      <w:r w:rsidRPr="009B3B7E">
        <w:rPr>
          <w:rStyle w:val="CommentReference"/>
        </w:rPr>
        <w:annotationRef/>
      </w:r>
      <w:proofErr w:type="spellStart"/>
      <w:r w:rsidR="00600E04">
        <w:rPr>
          <w:lang w:val="en-US"/>
        </w:rPr>
        <w:t>Personnaliser</w:t>
      </w:r>
      <w:proofErr w:type="spellEnd"/>
    </w:p>
  </w:comment>
  <w:comment w:id="109" w:author="Hannah Koenker" w:date="2016-09-22T19:44:00Z" w:initials="HK">
    <w:p w14:paraId="712B5289" w14:textId="4B4D32F8" w:rsidR="00386E30" w:rsidRPr="009B3B7E" w:rsidRDefault="00386E30">
      <w:pPr>
        <w:pStyle w:val="CommentText"/>
      </w:pPr>
      <w:r w:rsidRPr="009B3B7E">
        <w:rPr>
          <w:rStyle w:val="CommentReference"/>
        </w:rPr>
        <w:annotationRef/>
      </w:r>
      <w:proofErr w:type="spellStart"/>
      <w:r w:rsidR="00600E04">
        <w:rPr>
          <w:lang w:val="en-US"/>
        </w:rPr>
        <w:t>Personnaliser</w:t>
      </w:r>
      <w:proofErr w:type="spellEnd"/>
    </w:p>
  </w:comment>
  <w:comment w:id="112" w:author="Albert Kilian" w:date="2015-03-25T12:17:00Z" w:initials="AK">
    <w:p w14:paraId="07E019DA" w14:textId="1C5E5411" w:rsidR="001C4707" w:rsidRPr="009B3B7E" w:rsidRDefault="001C4707">
      <w:pPr>
        <w:pStyle w:val="CommentText"/>
      </w:pPr>
      <w:r w:rsidRPr="009B3B7E">
        <w:rPr>
          <w:rStyle w:val="CommentReference"/>
        </w:rPr>
        <w:annotationRef/>
      </w:r>
      <w:proofErr w:type="spellStart"/>
      <w:r w:rsidR="00600E04">
        <w:rPr>
          <w:lang w:val="en-US"/>
        </w:rPr>
        <w:t>Personnaliser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9700F" w15:done="0"/>
  <w15:commentEx w15:paraId="01DCB3F0" w15:done="0"/>
  <w15:commentEx w15:paraId="0AEFB26B" w15:done="0"/>
  <w15:commentEx w15:paraId="289C5724" w15:done="0"/>
  <w15:commentEx w15:paraId="10C7C741" w15:done="0"/>
  <w15:commentEx w15:paraId="51BE2014" w15:done="0"/>
  <w15:commentEx w15:paraId="5B33C245" w15:done="0"/>
  <w15:commentEx w15:paraId="6BB0B55B" w15:done="0"/>
  <w15:commentEx w15:paraId="752A55F2" w15:done="0"/>
  <w15:commentEx w15:paraId="743028B6" w15:done="0"/>
  <w15:commentEx w15:paraId="28D63CB0" w15:done="0"/>
  <w15:commentEx w15:paraId="7696BB6F" w15:done="0"/>
  <w15:commentEx w15:paraId="0FA19221" w15:done="0"/>
  <w15:commentEx w15:paraId="1B8BF081" w15:done="0"/>
  <w15:commentEx w15:paraId="446FB8C1" w15:done="0"/>
  <w15:commentEx w15:paraId="2A36D970" w15:done="0"/>
  <w15:commentEx w15:paraId="022CAA1A" w15:done="0"/>
  <w15:commentEx w15:paraId="039E1B6A" w15:done="0"/>
  <w15:commentEx w15:paraId="2CF476C0" w15:done="0"/>
  <w15:commentEx w15:paraId="7763C19A" w15:done="0"/>
  <w15:commentEx w15:paraId="3CC2D0FB" w15:done="0"/>
  <w15:commentEx w15:paraId="342BEE2C" w15:done="0"/>
  <w15:commentEx w15:paraId="33FA5610" w15:done="0"/>
  <w15:commentEx w15:paraId="030F611C" w15:done="0"/>
  <w15:commentEx w15:paraId="145CCD60" w15:done="0"/>
  <w15:commentEx w15:paraId="50990FB7" w15:done="0"/>
  <w15:commentEx w15:paraId="2CEF757D" w15:done="0"/>
  <w15:commentEx w15:paraId="565F41D0" w15:done="0"/>
  <w15:commentEx w15:paraId="6A8CC0B0" w15:done="0"/>
  <w15:commentEx w15:paraId="473FA8FA" w15:done="0"/>
  <w15:commentEx w15:paraId="70425523" w15:done="0"/>
  <w15:commentEx w15:paraId="3BC90325" w15:done="0"/>
  <w15:commentEx w15:paraId="298A7DC8" w15:done="0"/>
  <w15:commentEx w15:paraId="4108253E" w15:done="0"/>
  <w15:commentEx w15:paraId="33F590DC" w15:done="0"/>
  <w15:commentEx w15:paraId="6EC31DCA" w15:done="0"/>
  <w15:commentEx w15:paraId="4E5AAE5E" w15:done="0"/>
  <w15:commentEx w15:paraId="712B5289" w15:done="0"/>
  <w15:commentEx w15:paraId="07E01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E0C" w16cex:dateUtc="2015-03-25T16:17:00Z"/>
  <w16cex:commentExtensible w16cex:durableId="25D45E0D" w16cex:dateUtc="2015-03-25T16:17:00Z"/>
  <w16cex:commentExtensible w16cex:durableId="25D45E0E" w16cex:dateUtc="2015-03-25T16:17:00Z"/>
  <w16cex:commentExtensible w16cex:durableId="25D45E0F" w16cex:dateUtc="2015-03-25T16:17:00Z"/>
  <w16cex:commentExtensible w16cex:durableId="25D45E10" w16cex:dateUtc="2015-03-25T16:17:00Z"/>
  <w16cex:commentExtensible w16cex:durableId="25D45E11" w16cex:dateUtc="2015-03-25T16:17:00Z"/>
  <w16cex:commentExtensible w16cex:durableId="25D45E12" w16cex:dateUtc="2015-03-25T16:17:00Z"/>
  <w16cex:commentExtensible w16cex:durableId="25D45E13" w16cex:dateUtc="2015-03-25T16:17:00Z"/>
  <w16cex:commentExtensible w16cex:durableId="25D45E14" w16cex:dateUtc="2015-03-25T16:17:00Z"/>
  <w16cex:commentExtensible w16cex:durableId="25D45E15" w16cex:dateUtc="2015-03-25T16:17:00Z"/>
  <w16cex:commentExtensible w16cex:durableId="25D45E16" w16cex:dateUtc="2015-10-01T18:21:00Z"/>
  <w16cex:commentExtensible w16cex:durableId="25D45E17" w16cex:dateUtc="2015-10-01T18:21:00Z"/>
  <w16cex:commentExtensible w16cex:durableId="25D45E18" w16cex:dateUtc="2015-03-25T16:17:00Z"/>
  <w16cex:commentExtensible w16cex:durableId="25D45E19" w16cex:dateUtc="2015-10-01T18:11:00Z"/>
  <w16cex:commentExtensible w16cex:durableId="25D45E1A" w16cex:dateUtc="2015-03-25T16:17:00Z"/>
  <w16cex:commentExtensible w16cex:durableId="25D48F17" w16cex:dateUtc="2022-03-10T19:52:00Z"/>
  <w16cex:commentExtensible w16cex:durableId="25D48F82" w16cex:dateUtc="2022-03-10T19:53:00Z"/>
  <w16cex:commentExtensible w16cex:durableId="25D490A7" w16cex:dateUtc="2022-03-10T19:58:00Z"/>
  <w16cex:commentExtensible w16cex:durableId="25D45E1B" w16cex:dateUtc="2015-03-25T16:17:00Z"/>
  <w16cex:commentExtensible w16cex:durableId="25D45E1C" w16cex:dateUtc="2015-03-25T16:17:00Z"/>
  <w16cex:commentExtensible w16cex:durableId="25D493C2" w16cex:dateUtc="2022-03-10T20:12:00Z"/>
  <w16cex:commentExtensible w16cex:durableId="25D45E1D" w16cex:dateUtc="2015-03-25T16:17:00Z"/>
  <w16cex:commentExtensible w16cex:durableId="25D45E1E" w16cex:dateUtc="2015-03-25T16:17:00Z"/>
  <w16cex:commentExtensible w16cex:durableId="25D45E1F" w16cex:dateUtc="2015-03-25T16:17:00Z"/>
  <w16cex:commentExtensible w16cex:durableId="25D45E20" w16cex:dateUtc="2015-03-25T16:17:00Z"/>
  <w16cex:commentExtensible w16cex:durableId="25D45E21" w16cex:dateUtc="2015-10-01T18:35:00Z"/>
  <w16cex:commentExtensible w16cex:durableId="25D5D2A7" w16cex:dateUtc="2022-03-11T18:52:00Z"/>
  <w16cex:commentExtensible w16cex:durableId="25D5D2E6" w16cex:dateUtc="2022-03-11T18:53:00Z"/>
  <w16cex:commentExtensible w16cex:durableId="25D5D3D5" w16cex:dateUtc="2022-03-11T18:57:00Z"/>
  <w16cex:commentExtensible w16cex:durableId="25D45E22" w16cex:dateUtc="2015-03-25T16:17:00Z"/>
  <w16cex:commentExtensible w16cex:durableId="25D45E24" w16cex:dateUtc="2015-03-25T16:17:00Z"/>
  <w16cex:commentExtensible w16cex:durableId="25D45E25" w16cex:dateUtc="2015-03-25T16:17:00Z"/>
  <w16cex:commentExtensible w16cex:durableId="25D45E26" w16cex:dateUtc="2015-03-25T16:17:00Z"/>
  <w16cex:commentExtensible w16cex:durableId="25D45E27" w16cex:dateUtc="2015-03-25T16:17:00Z"/>
  <w16cex:commentExtensible w16cex:durableId="25D45E28" w16cex:dateUtc="2015-03-25T16:17:00Z"/>
  <w16cex:commentExtensible w16cex:durableId="25D45E29" w16cex:dateUtc="2015-03-25T16:17:00Z"/>
  <w16cex:commentExtensible w16cex:durableId="25D45E2A" w16cex:dateUtc="2015-03-25T16:17:00Z"/>
  <w16cex:commentExtensible w16cex:durableId="25D45E2B" w16cex:dateUtc="2016-09-22T23:44:00Z"/>
  <w16cex:commentExtensible w16cex:durableId="25D45E2C" w16cex:dateUtc="2015-03-25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9700F" w16cid:durableId="25D45E0C"/>
  <w16cid:commentId w16cid:paraId="01DCB3F0" w16cid:durableId="25D45E0D"/>
  <w16cid:commentId w16cid:paraId="0AEFB26B" w16cid:durableId="25D45E0E"/>
  <w16cid:commentId w16cid:paraId="289C5724" w16cid:durableId="25D45E0F"/>
  <w16cid:commentId w16cid:paraId="10C7C741" w16cid:durableId="25D45E10"/>
  <w16cid:commentId w16cid:paraId="51BE2014" w16cid:durableId="25D45E11"/>
  <w16cid:commentId w16cid:paraId="5B33C245" w16cid:durableId="25D45E12"/>
  <w16cid:commentId w16cid:paraId="6BB0B55B" w16cid:durableId="25D45E13"/>
  <w16cid:commentId w16cid:paraId="752A55F2" w16cid:durableId="25D45E14"/>
  <w16cid:commentId w16cid:paraId="743028B6" w16cid:durableId="25D45E15"/>
  <w16cid:commentId w16cid:paraId="28D63CB0" w16cid:durableId="25D45E16"/>
  <w16cid:commentId w16cid:paraId="7696BB6F" w16cid:durableId="25D45E17"/>
  <w16cid:commentId w16cid:paraId="0FA19221" w16cid:durableId="25D45E18"/>
  <w16cid:commentId w16cid:paraId="1B8BF081" w16cid:durableId="25D45E19"/>
  <w16cid:commentId w16cid:paraId="446FB8C1" w16cid:durableId="25D45E1A"/>
  <w16cid:commentId w16cid:paraId="2A36D970" w16cid:durableId="25D48F17"/>
  <w16cid:commentId w16cid:paraId="022CAA1A" w16cid:durableId="25D48F82"/>
  <w16cid:commentId w16cid:paraId="039E1B6A" w16cid:durableId="25D490A7"/>
  <w16cid:commentId w16cid:paraId="2CF476C0" w16cid:durableId="25D45E1B"/>
  <w16cid:commentId w16cid:paraId="7763C19A" w16cid:durableId="25D45E1C"/>
  <w16cid:commentId w16cid:paraId="3CC2D0FB" w16cid:durableId="25D493C2"/>
  <w16cid:commentId w16cid:paraId="342BEE2C" w16cid:durableId="25D45E1D"/>
  <w16cid:commentId w16cid:paraId="33FA5610" w16cid:durableId="25D45E1E"/>
  <w16cid:commentId w16cid:paraId="030F611C" w16cid:durableId="25D45E1F"/>
  <w16cid:commentId w16cid:paraId="145CCD60" w16cid:durableId="25D45E20"/>
  <w16cid:commentId w16cid:paraId="50990FB7" w16cid:durableId="25D45E21"/>
  <w16cid:commentId w16cid:paraId="2CEF757D" w16cid:durableId="25D5D2A7"/>
  <w16cid:commentId w16cid:paraId="565F41D0" w16cid:durableId="25D5D2E6"/>
  <w16cid:commentId w16cid:paraId="6A8CC0B0" w16cid:durableId="25D5D3D5"/>
  <w16cid:commentId w16cid:paraId="473FA8FA" w16cid:durableId="25D45E22"/>
  <w16cid:commentId w16cid:paraId="70425523" w16cid:durableId="25D45E24"/>
  <w16cid:commentId w16cid:paraId="3BC90325" w16cid:durableId="25D45E25"/>
  <w16cid:commentId w16cid:paraId="298A7DC8" w16cid:durableId="25D45E26"/>
  <w16cid:commentId w16cid:paraId="4108253E" w16cid:durableId="25D45E27"/>
  <w16cid:commentId w16cid:paraId="33F590DC" w16cid:durableId="25D45E28"/>
  <w16cid:commentId w16cid:paraId="6EC31DCA" w16cid:durableId="25D45E29"/>
  <w16cid:commentId w16cid:paraId="4E5AAE5E" w16cid:durableId="25D45E2A"/>
  <w16cid:commentId w16cid:paraId="712B5289" w16cid:durableId="25D45E2B"/>
  <w16cid:commentId w16cid:paraId="07E019DA" w16cid:durableId="25D45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AF46" w14:textId="77777777" w:rsidR="00F8247E" w:rsidRDefault="00F8247E">
      <w:pPr>
        <w:spacing w:after="0" w:line="240" w:lineRule="auto"/>
      </w:pPr>
      <w:r>
        <w:separator/>
      </w:r>
    </w:p>
  </w:endnote>
  <w:endnote w:type="continuationSeparator" w:id="0">
    <w:p w14:paraId="1EDEF20B" w14:textId="77777777" w:rsidR="00F8247E" w:rsidRDefault="00F8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68FA" w14:textId="77777777" w:rsidR="001C4707" w:rsidRDefault="001C4707"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429AB" w14:textId="77777777" w:rsidR="001C4707" w:rsidRDefault="001C4707" w:rsidP="00096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537D" w14:textId="618B4E09" w:rsidR="001C4707" w:rsidRDefault="001C4707"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2D2">
      <w:rPr>
        <w:rStyle w:val="PageNumber"/>
        <w:noProof/>
      </w:rPr>
      <w:t>19</w:t>
    </w:r>
    <w:r>
      <w:rPr>
        <w:rStyle w:val="PageNumber"/>
      </w:rPr>
      <w:fldChar w:fldCharType="end"/>
    </w:r>
  </w:p>
  <w:p w14:paraId="1498B0B7" w14:textId="77777777" w:rsidR="001C4707" w:rsidRDefault="001C4707" w:rsidP="00096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63A6" w14:textId="77777777" w:rsidR="00F8247E" w:rsidRDefault="00F8247E">
      <w:pPr>
        <w:spacing w:after="0" w:line="240" w:lineRule="auto"/>
      </w:pPr>
      <w:r>
        <w:separator/>
      </w:r>
    </w:p>
  </w:footnote>
  <w:footnote w:type="continuationSeparator" w:id="0">
    <w:p w14:paraId="6FF9AF3A" w14:textId="77777777" w:rsidR="00F8247E" w:rsidRDefault="00F8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F7A6" w14:textId="6F233FE2" w:rsidR="001C4707" w:rsidRDefault="001C4707">
    <w:pPr>
      <w:pStyle w:val="Header"/>
    </w:pPr>
    <w:r>
      <w:t>Dernière version : mercredi 21 octobre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E7F7" w14:textId="6DA7DC20" w:rsidR="001C4707" w:rsidRDefault="001C4707">
    <w:pPr>
      <w:pStyle w:val="Header"/>
    </w:pPr>
    <w:r>
      <w:t xml:space="preserve">Dernière version : </w:t>
    </w:r>
    <w:r w:rsidR="00C92AF2">
      <w:t>2016-10-24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716"/>
    <w:multiLevelType w:val="hybridMultilevel"/>
    <w:tmpl w:val="9472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D40"/>
    <w:multiLevelType w:val="hybridMultilevel"/>
    <w:tmpl w:val="FB3E3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F2B73"/>
    <w:multiLevelType w:val="hybridMultilevel"/>
    <w:tmpl w:val="2F90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F9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5D2C96"/>
    <w:multiLevelType w:val="hybridMultilevel"/>
    <w:tmpl w:val="F54268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22AEA4">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967D5"/>
    <w:multiLevelType w:val="hybridMultilevel"/>
    <w:tmpl w:val="371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2B7"/>
    <w:multiLevelType w:val="hybridMultilevel"/>
    <w:tmpl w:val="4ECEB0F4"/>
    <w:lvl w:ilvl="0" w:tplc="DC9AA54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3665B0F"/>
    <w:multiLevelType w:val="hybridMultilevel"/>
    <w:tmpl w:val="096A94FE"/>
    <w:lvl w:ilvl="0" w:tplc="3F06537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2746E4"/>
    <w:multiLevelType w:val="hybridMultilevel"/>
    <w:tmpl w:val="843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6683C"/>
    <w:multiLevelType w:val="hybridMultilevel"/>
    <w:tmpl w:val="66B0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54090"/>
    <w:multiLevelType w:val="hybridMultilevel"/>
    <w:tmpl w:val="33F8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61890"/>
    <w:multiLevelType w:val="multilevel"/>
    <w:tmpl w:val="3738B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71FB6"/>
    <w:multiLevelType w:val="hybridMultilevel"/>
    <w:tmpl w:val="84BEF046"/>
    <w:lvl w:ilvl="0" w:tplc="8F2282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A82334"/>
    <w:multiLevelType w:val="hybridMultilevel"/>
    <w:tmpl w:val="442CC980"/>
    <w:lvl w:ilvl="0" w:tplc="8F22823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5B7DEF"/>
    <w:multiLevelType w:val="hybridMultilevel"/>
    <w:tmpl w:val="0DE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428BC"/>
    <w:multiLevelType w:val="hybridMultilevel"/>
    <w:tmpl w:val="7A300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A3BBD"/>
    <w:multiLevelType w:val="hybridMultilevel"/>
    <w:tmpl w:val="89FA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A2481"/>
    <w:multiLevelType w:val="multilevel"/>
    <w:tmpl w:val="298E75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41B64"/>
    <w:multiLevelType w:val="hybridMultilevel"/>
    <w:tmpl w:val="298E7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356C5"/>
    <w:multiLevelType w:val="hybridMultilevel"/>
    <w:tmpl w:val="25B2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5232B"/>
    <w:multiLevelType w:val="hybridMultilevel"/>
    <w:tmpl w:val="C18EE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B0FD4"/>
    <w:multiLevelType w:val="hybridMultilevel"/>
    <w:tmpl w:val="A3C8D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0573DE"/>
    <w:multiLevelType w:val="hybridMultilevel"/>
    <w:tmpl w:val="A91869A0"/>
    <w:lvl w:ilvl="0" w:tplc="6F2682A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93118C"/>
    <w:multiLevelType w:val="hybridMultilevel"/>
    <w:tmpl w:val="95FA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443BB"/>
    <w:multiLevelType w:val="hybridMultilevel"/>
    <w:tmpl w:val="3738B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6223"/>
    <w:multiLevelType w:val="hybridMultilevel"/>
    <w:tmpl w:val="4FB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1075A"/>
    <w:multiLevelType w:val="hybridMultilevel"/>
    <w:tmpl w:val="4D6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2"/>
  </w:num>
  <w:num w:numId="4">
    <w:abstractNumId w:val="9"/>
  </w:num>
  <w:num w:numId="5">
    <w:abstractNumId w:val="14"/>
  </w:num>
  <w:num w:numId="6">
    <w:abstractNumId w:val="1"/>
  </w:num>
  <w:num w:numId="7">
    <w:abstractNumId w:val="25"/>
  </w:num>
  <w:num w:numId="8">
    <w:abstractNumId w:val="21"/>
  </w:num>
  <w:num w:numId="9">
    <w:abstractNumId w:val="11"/>
  </w:num>
  <w:num w:numId="10">
    <w:abstractNumId w:val="4"/>
  </w:num>
  <w:num w:numId="11">
    <w:abstractNumId w:val="23"/>
  </w:num>
  <w:num w:numId="12">
    <w:abstractNumId w:val="6"/>
  </w:num>
  <w:num w:numId="13">
    <w:abstractNumId w:val="20"/>
  </w:num>
  <w:num w:numId="14">
    <w:abstractNumId w:val="16"/>
  </w:num>
  <w:num w:numId="15">
    <w:abstractNumId w:val="13"/>
  </w:num>
  <w:num w:numId="16">
    <w:abstractNumId w:val="22"/>
  </w:num>
  <w:num w:numId="17">
    <w:abstractNumId w:val="0"/>
  </w:num>
  <w:num w:numId="18">
    <w:abstractNumId w:val="10"/>
  </w:num>
  <w:num w:numId="19">
    <w:abstractNumId w:val="15"/>
  </w:num>
  <w:num w:numId="20">
    <w:abstractNumId w:val="7"/>
  </w:num>
  <w:num w:numId="21">
    <w:abstractNumId w:val="8"/>
  </w:num>
  <w:num w:numId="22">
    <w:abstractNumId w:val="26"/>
  </w:num>
  <w:num w:numId="23">
    <w:abstractNumId w:val="27"/>
  </w:num>
  <w:num w:numId="24">
    <w:abstractNumId w:val="2"/>
  </w:num>
  <w:num w:numId="25">
    <w:abstractNumId w:val="17"/>
  </w:num>
  <w:num w:numId="26">
    <w:abstractNumId w:val="3"/>
  </w:num>
  <w:num w:numId="27">
    <w:abstractNumId w:val="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se Palmer">
    <w15:presenceInfo w15:providerId="AD" w15:userId="S::alpalmer@psi.org::ce27b2a7-186c-4dd1-8fa5-ec89041c7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70"/>
    <w:rsid w:val="00001633"/>
    <w:rsid w:val="0000196F"/>
    <w:rsid w:val="00012711"/>
    <w:rsid w:val="00014361"/>
    <w:rsid w:val="00017187"/>
    <w:rsid w:val="00017F12"/>
    <w:rsid w:val="000334AD"/>
    <w:rsid w:val="00034506"/>
    <w:rsid w:val="00056770"/>
    <w:rsid w:val="00056B0B"/>
    <w:rsid w:val="00061EBA"/>
    <w:rsid w:val="00062DF0"/>
    <w:rsid w:val="0008525E"/>
    <w:rsid w:val="00096D72"/>
    <w:rsid w:val="000A1AD5"/>
    <w:rsid w:val="000B3A96"/>
    <w:rsid w:val="000C5293"/>
    <w:rsid w:val="000D61EE"/>
    <w:rsid w:val="000F29A7"/>
    <w:rsid w:val="00115133"/>
    <w:rsid w:val="00115C20"/>
    <w:rsid w:val="0012259E"/>
    <w:rsid w:val="0015274A"/>
    <w:rsid w:val="00166A37"/>
    <w:rsid w:val="0016745C"/>
    <w:rsid w:val="00177DA1"/>
    <w:rsid w:val="0018533A"/>
    <w:rsid w:val="001909B3"/>
    <w:rsid w:val="001B7501"/>
    <w:rsid w:val="001C26F5"/>
    <w:rsid w:val="001C4707"/>
    <w:rsid w:val="001D6793"/>
    <w:rsid w:val="001D7227"/>
    <w:rsid w:val="00220A96"/>
    <w:rsid w:val="002230C1"/>
    <w:rsid w:val="002231D1"/>
    <w:rsid w:val="00227BAC"/>
    <w:rsid w:val="00230BE9"/>
    <w:rsid w:val="00245932"/>
    <w:rsid w:val="0024667E"/>
    <w:rsid w:val="002737D9"/>
    <w:rsid w:val="00280102"/>
    <w:rsid w:val="002861E8"/>
    <w:rsid w:val="0029489B"/>
    <w:rsid w:val="002A5FDF"/>
    <w:rsid w:val="002B1445"/>
    <w:rsid w:val="002E1D29"/>
    <w:rsid w:val="002F479E"/>
    <w:rsid w:val="002F70E1"/>
    <w:rsid w:val="002F77CA"/>
    <w:rsid w:val="0030691F"/>
    <w:rsid w:val="00314349"/>
    <w:rsid w:val="00321E94"/>
    <w:rsid w:val="00326F44"/>
    <w:rsid w:val="003629B4"/>
    <w:rsid w:val="00386E30"/>
    <w:rsid w:val="003A0A0E"/>
    <w:rsid w:val="003B125C"/>
    <w:rsid w:val="003B4360"/>
    <w:rsid w:val="003B4D56"/>
    <w:rsid w:val="003C2CCB"/>
    <w:rsid w:val="00404CFF"/>
    <w:rsid w:val="0042068C"/>
    <w:rsid w:val="00432E23"/>
    <w:rsid w:val="00434151"/>
    <w:rsid w:val="004351A1"/>
    <w:rsid w:val="0045547A"/>
    <w:rsid w:val="00466748"/>
    <w:rsid w:val="00477717"/>
    <w:rsid w:val="00483F96"/>
    <w:rsid w:val="00486646"/>
    <w:rsid w:val="004944DE"/>
    <w:rsid w:val="004946F3"/>
    <w:rsid w:val="0049484F"/>
    <w:rsid w:val="004A7694"/>
    <w:rsid w:val="004B04AF"/>
    <w:rsid w:val="004C017C"/>
    <w:rsid w:val="004D2B7C"/>
    <w:rsid w:val="004F2E2A"/>
    <w:rsid w:val="00514CB8"/>
    <w:rsid w:val="0054308D"/>
    <w:rsid w:val="00596F49"/>
    <w:rsid w:val="005A64F1"/>
    <w:rsid w:val="005E7914"/>
    <w:rsid w:val="00600E04"/>
    <w:rsid w:val="006038CF"/>
    <w:rsid w:val="00620706"/>
    <w:rsid w:val="00626303"/>
    <w:rsid w:val="006347DC"/>
    <w:rsid w:val="00651D3D"/>
    <w:rsid w:val="006753B6"/>
    <w:rsid w:val="0068652F"/>
    <w:rsid w:val="006B5FFB"/>
    <w:rsid w:val="006D380A"/>
    <w:rsid w:val="006D55CD"/>
    <w:rsid w:val="006E52D2"/>
    <w:rsid w:val="006E6130"/>
    <w:rsid w:val="006F7F32"/>
    <w:rsid w:val="00731B72"/>
    <w:rsid w:val="007362D2"/>
    <w:rsid w:val="00737959"/>
    <w:rsid w:val="007529D8"/>
    <w:rsid w:val="00760B33"/>
    <w:rsid w:val="00766C64"/>
    <w:rsid w:val="0077720C"/>
    <w:rsid w:val="00783B29"/>
    <w:rsid w:val="00796A5F"/>
    <w:rsid w:val="007A6544"/>
    <w:rsid w:val="007B1C19"/>
    <w:rsid w:val="007C619D"/>
    <w:rsid w:val="007D2038"/>
    <w:rsid w:val="00810E0A"/>
    <w:rsid w:val="00812FA5"/>
    <w:rsid w:val="00817A28"/>
    <w:rsid w:val="00821BE8"/>
    <w:rsid w:val="00854299"/>
    <w:rsid w:val="00856597"/>
    <w:rsid w:val="0086569D"/>
    <w:rsid w:val="00866202"/>
    <w:rsid w:val="00871C53"/>
    <w:rsid w:val="00882875"/>
    <w:rsid w:val="008849DD"/>
    <w:rsid w:val="00891E2C"/>
    <w:rsid w:val="008A7FEE"/>
    <w:rsid w:val="009053D5"/>
    <w:rsid w:val="009066AF"/>
    <w:rsid w:val="00910BFB"/>
    <w:rsid w:val="0091620E"/>
    <w:rsid w:val="009213A4"/>
    <w:rsid w:val="009311E4"/>
    <w:rsid w:val="00950DEB"/>
    <w:rsid w:val="00961811"/>
    <w:rsid w:val="00963EAA"/>
    <w:rsid w:val="00964F4F"/>
    <w:rsid w:val="0096756E"/>
    <w:rsid w:val="00980E7A"/>
    <w:rsid w:val="00984428"/>
    <w:rsid w:val="009B01D9"/>
    <w:rsid w:val="009B3B7E"/>
    <w:rsid w:val="009E125D"/>
    <w:rsid w:val="009E3457"/>
    <w:rsid w:val="009E6EA2"/>
    <w:rsid w:val="009F68E8"/>
    <w:rsid w:val="00A0317A"/>
    <w:rsid w:val="00A0435B"/>
    <w:rsid w:val="00A0547E"/>
    <w:rsid w:val="00A07380"/>
    <w:rsid w:val="00A15D60"/>
    <w:rsid w:val="00A223B9"/>
    <w:rsid w:val="00A45D2E"/>
    <w:rsid w:val="00A603C3"/>
    <w:rsid w:val="00A672E1"/>
    <w:rsid w:val="00A94470"/>
    <w:rsid w:val="00AB07C2"/>
    <w:rsid w:val="00AB101F"/>
    <w:rsid w:val="00AD1C84"/>
    <w:rsid w:val="00B0244B"/>
    <w:rsid w:val="00B1592D"/>
    <w:rsid w:val="00B344C5"/>
    <w:rsid w:val="00B46AEC"/>
    <w:rsid w:val="00B6370F"/>
    <w:rsid w:val="00B63B58"/>
    <w:rsid w:val="00BC5175"/>
    <w:rsid w:val="00BD77C2"/>
    <w:rsid w:val="00C12939"/>
    <w:rsid w:val="00C42135"/>
    <w:rsid w:val="00C5128A"/>
    <w:rsid w:val="00C57D1D"/>
    <w:rsid w:val="00C6123A"/>
    <w:rsid w:val="00C64785"/>
    <w:rsid w:val="00C802BC"/>
    <w:rsid w:val="00C81609"/>
    <w:rsid w:val="00C821AC"/>
    <w:rsid w:val="00C92AF2"/>
    <w:rsid w:val="00CA1664"/>
    <w:rsid w:val="00CB6B8D"/>
    <w:rsid w:val="00CD4CC7"/>
    <w:rsid w:val="00CF4DCC"/>
    <w:rsid w:val="00CF7897"/>
    <w:rsid w:val="00D05047"/>
    <w:rsid w:val="00D545EA"/>
    <w:rsid w:val="00D65B73"/>
    <w:rsid w:val="00D711D9"/>
    <w:rsid w:val="00D749DF"/>
    <w:rsid w:val="00D8005A"/>
    <w:rsid w:val="00DA0E79"/>
    <w:rsid w:val="00DA5655"/>
    <w:rsid w:val="00DB2061"/>
    <w:rsid w:val="00DB67BC"/>
    <w:rsid w:val="00DE5679"/>
    <w:rsid w:val="00E160A8"/>
    <w:rsid w:val="00E2350B"/>
    <w:rsid w:val="00E3268C"/>
    <w:rsid w:val="00E43DF8"/>
    <w:rsid w:val="00E601C2"/>
    <w:rsid w:val="00E61216"/>
    <w:rsid w:val="00E672C1"/>
    <w:rsid w:val="00E72A7D"/>
    <w:rsid w:val="00E7415B"/>
    <w:rsid w:val="00E75ECC"/>
    <w:rsid w:val="00E93DED"/>
    <w:rsid w:val="00EE1C5A"/>
    <w:rsid w:val="00EE4796"/>
    <w:rsid w:val="00F11E90"/>
    <w:rsid w:val="00F11EA4"/>
    <w:rsid w:val="00F45315"/>
    <w:rsid w:val="00F73A4E"/>
    <w:rsid w:val="00F8247E"/>
    <w:rsid w:val="00FA7F6F"/>
    <w:rsid w:val="00FB4A9D"/>
    <w:rsid w:val="00FB62A6"/>
    <w:rsid w:val="00FB7AD3"/>
    <w:rsid w:val="00FC6E68"/>
    <w:rsid w:val="00FE6757"/>
    <w:rsid w:val="00FF4E69"/>
    <w:rsid w:val="00FF545D"/>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5D2B6"/>
  <w15:docId w15:val="{94791D61-3AAC-4420-B378-D3F5064C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70"/>
    <w:rPr>
      <w:rFonts w:eastAsiaTheme="minorEastAsia"/>
    </w:rPr>
  </w:style>
  <w:style w:type="paragraph" w:styleId="Heading1">
    <w:name w:val="heading 1"/>
    <w:basedOn w:val="Normal"/>
    <w:next w:val="Normal"/>
    <w:link w:val="Heading1Char"/>
    <w:uiPriority w:val="9"/>
    <w:qFormat/>
    <w:rsid w:val="00A94470"/>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470"/>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470"/>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4470"/>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470"/>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470"/>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470"/>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470"/>
    <w:pPr>
      <w:keepNext/>
      <w:keepLines/>
      <w:numPr>
        <w:ilvl w:val="7"/>
        <w:numId w:val="26"/>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4470"/>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44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44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44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447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A94470"/>
    <w:pPr>
      <w:tabs>
        <w:tab w:val="center" w:pos="4320"/>
        <w:tab w:val="right" w:pos="8640"/>
      </w:tabs>
    </w:pPr>
  </w:style>
  <w:style w:type="character" w:customStyle="1" w:styleId="FooterChar">
    <w:name w:val="Footer Char"/>
    <w:basedOn w:val="DefaultParagraphFont"/>
    <w:link w:val="Footer"/>
    <w:rsid w:val="00A94470"/>
    <w:rPr>
      <w:rFonts w:eastAsiaTheme="minorEastAsia"/>
    </w:rPr>
  </w:style>
  <w:style w:type="character" w:styleId="PageNumber">
    <w:name w:val="page number"/>
    <w:basedOn w:val="DefaultParagraphFont"/>
    <w:rsid w:val="00A94470"/>
  </w:style>
  <w:style w:type="character" w:styleId="Hyperlink">
    <w:name w:val="Hyperlink"/>
    <w:uiPriority w:val="99"/>
    <w:rsid w:val="00A94470"/>
    <w:rPr>
      <w:color w:val="0000FF"/>
      <w:u w:val="single"/>
    </w:rPr>
  </w:style>
  <w:style w:type="paragraph" w:styleId="BodyText3">
    <w:name w:val="Body Text 3"/>
    <w:basedOn w:val="Normal"/>
    <w:link w:val="BodyText3Char"/>
    <w:rsid w:val="00A94470"/>
    <w:pPr>
      <w:jc w:val="both"/>
    </w:pPr>
    <w:rPr>
      <w:rFonts w:ascii="Arial" w:hAnsi="Arial"/>
      <w:szCs w:val="20"/>
    </w:rPr>
  </w:style>
  <w:style w:type="character" w:customStyle="1" w:styleId="BodyText3Char">
    <w:name w:val="Body Text 3 Char"/>
    <w:basedOn w:val="DefaultParagraphFont"/>
    <w:link w:val="BodyText3"/>
    <w:rsid w:val="00A94470"/>
    <w:rPr>
      <w:rFonts w:ascii="Arial" w:eastAsiaTheme="minorEastAsia" w:hAnsi="Arial"/>
      <w:szCs w:val="20"/>
      <w:lang w:val="fr-FR"/>
    </w:rPr>
  </w:style>
  <w:style w:type="character" w:styleId="FollowedHyperlink">
    <w:name w:val="FollowedHyperlink"/>
    <w:rsid w:val="00A94470"/>
    <w:rPr>
      <w:color w:val="800080"/>
      <w:u w:val="single"/>
    </w:rPr>
  </w:style>
  <w:style w:type="paragraph" w:styleId="Caption">
    <w:name w:val="caption"/>
    <w:basedOn w:val="Normal"/>
    <w:next w:val="Normal"/>
    <w:uiPriority w:val="35"/>
    <w:unhideWhenUsed/>
    <w:qFormat/>
    <w:rsid w:val="00A94470"/>
    <w:pPr>
      <w:spacing w:line="240" w:lineRule="auto"/>
    </w:pPr>
    <w:rPr>
      <w:b/>
      <w:bCs/>
      <w:color w:val="4F81BD" w:themeColor="accent1"/>
      <w:sz w:val="18"/>
      <w:szCs w:val="18"/>
    </w:rPr>
  </w:style>
  <w:style w:type="paragraph" w:styleId="BalloonText">
    <w:name w:val="Balloon Text"/>
    <w:basedOn w:val="Normal"/>
    <w:link w:val="BalloonTextChar"/>
    <w:semiHidden/>
    <w:rsid w:val="00A94470"/>
    <w:rPr>
      <w:rFonts w:ascii="Tahoma" w:hAnsi="Tahoma"/>
      <w:sz w:val="16"/>
      <w:szCs w:val="16"/>
    </w:rPr>
  </w:style>
  <w:style w:type="character" w:customStyle="1" w:styleId="BalloonTextChar">
    <w:name w:val="Balloon Text Char"/>
    <w:basedOn w:val="DefaultParagraphFont"/>
    <w:link w:val="BalloonText"/>
    <w:semiHidden/>
    <w:rsid w:val="00A94470"/>
    <w:rPr>
      <w:rFonts w:ascii="Tahoma" w:eastAsiaTheme="minorEastAsia" w:hAnsi="Tahoma"/>
      <w:sz w:val="16"/>
      <w:szCs w:val="16"/>
    </w:rPr>
  </w:style>
  <w:style w:type="paragraph" w:styleId="Title">
    <w:name w:val="Title"/>
    <w:basedOn w:val="Normal"/>
    <w:next w:val="Normal"/>
    <w:link w:val="TitleChar"/>
    <w:uiPriority w:val="10"/>
    <w:qFormat/>
    <w:rsid w:val="00A9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94470"/>
    <w:rPr>
      <w:rFonts w:asciiTheme="majorHAnsi" w:eastAsiaTheme="majorEastAsia" w:hAnsiTheme="majorHAnsi" w:cstheme="majorBidi"/>
      <w:color w:val="17365D" w:themeColor="text2" w:themeShade="BF"/>
      <w:spacing w:val="5"/>
      <w:sz w:val="52"/>
      <w:szCs w:val="52"/>
    </w:rPr>
  </w:style>
  <w:style w:type="paragraph" w:styleId="CommentText">
    <w:name w:val="annotation text"/>
    <w:basedOn w:val="Normal"/>
    <w:link w:val="CommentTextChar"/>
    <w:semiHidden/>
    <w:rsid w:val="00A94470"/>
    <w:rPr>
      <w:sz w:val="20"/>
      <w:szCs w:val="20"/>
    </w:rPr>
  </w:style>
  <w:style w:type="character" w:customStyle="1" w:styleId="CommentTextChar">
    <w:name w:val="Comment Text Char"/>
    <w:basedOn w:val="DefaultParagraphFont"/>
    <w:link w:val="CommentText"/>
    <w:semiHidden/>
    <w:rsid w:val="00A94470"/>
    <w:rPr>
      <w:rFonts w:eastAsiaTheme="minorEastAsia"/>
      <w:sz w:val="20"/>
      <w:szCs w:val="20"/>
      <w:lang w:val="fr-FR"/>
    </w:rPr>
  </w:style>
  <w:style w:type="paragraph" w:styleId="Header">
    <w:name w:val="header"/>
    <w:basedOn w:val="Normal"/>
    <w:link w:val="HeaderChar"/>
    <w:rsid w:val="00A94470"/>
    <w:pPr>
      <w:tabs>
        <w:tab w:val="center" w:pos="4819"/>
        <w:tab w:val="right" w:pos="9638"/>
      </w:tabs>
    </w:pPr>
  </w:style>
  <w:style w:type="character" w:customStyle="1" w:styleId="HeaderChar">
    <w:name w:val="Header Char"/>
    <w:basedOn w:val="DefaultParagraphFont"/>
    <w:link w:val="Header"/>
    <w:rsid w:val="00A94470"/>
    <w:rPr>
      <w:rFonts w:eastAsiaTheme="minorEastAsia"/>
      <w:lang w:val="fr-FR"/>
    </w:rPr>
  </w:style>
  <w:style w:type="character" w:customStyle="1" w:styleId="CommentSubjectChar">
    <w:name w:val="Comment Subject Char"/>
    <w:link w:val="CommentSubject"/>
    <w:semiHidden/>
    <w:rsid w:val="00A94470"/>
    <w:rPr>
      <w:b/>
      <w:bCs/>
      <w:lang w:val="fr-FR"/>
    </w:rPr>
  </w:style>
  <w:style w:type="paragraph" w:styleId="CommentSubject">
    <w:name w:val="annotation subject"/>
    <w:basedOn w:val="CommentText"/>
    <w:next w:val="CommentText"/>
    <w:link w:val="CommentSubjectChar"/>
    <w:semiHidden/>
    <w:rsid w:val="00A94470"/>
    <w:rPr>
      <w:rFonts w:eastAsiaTheme="minorHAnsi"/>
      <w:b/>
      <w:bCs/>
      <w:sz w:val="22"/>
      <w:szCs w:val="22"/>
    </w:rPr>
  </w:style>
  <w:style w:type="character" w:customStyle="1" w:styleId="CommentSubjectChar1">
    <w:name w:val="Comment Subject Char1"/>
    <w:basedOn w:val="CommentTextChar"/>
    <w:uiPriority w:val="99"/>
    <w:semiHidden/>
    <w:rsid w:val="00A94470"/>
    <w:rPr>
      <w:rFonts w:eastAsiaTheme="minorEastAsia"/>
      <w:b/>
      <w:bCs/>
      <w:sz w:val="20"/>
      <w:szCs w:val="20"/>
      <w:lang w:val="fr-FR"/>
    </w:rPr>
  </w:style>
  <w:style w:type="character" w:customStyle="1" w:styleId="FootnoteTextChar">
    <w:name w:val="Footnote Text Char"/>
    <w:link w:val="FootnoteText"/>
    <w:semiHidden/>
    <w:rsid w:val="00A94470"/>
    <w:rPr>
      <w:lang w:val="fr-FR"/>
    </w:rPr>
  </w:style>
  <w:style w:type="paragraph" w:styleId="FootnoteText">
    <w:name w:val="footnote text"/>
    <w:basedOn w:val="Normal"/>
    <w:link w:val="FootnoteTextChar"/>
    <w:semiHidden/>
    <w:rsid w:val="00A94470"/>
    <w:rPr>
      <w:rFonts w:eastAsiaTheme="minorHAnsi"/>
    </w:rPr>
  </w:style>
  <w:style w:type="character" w:customStyle="1" w:styleId="FootnoteTextChar1">
    <w:name w:val="Footnote Text Char1"/>
    <w:basedOn w:val="DefaultParagraphFont"/>
    <w:uiPriority w:val="99"/>
    <w:semiHidden/>
    <w:rsid w:val="00A94470"/>
    <w:rPr>
      <w:rFonts w:eastAsiaTheme="minorEastAsia"/>
      <w:sz w:val="20"/>
      <w:szCs w:val="20"/>
    </w:rPr>
  </w:style>
  <w:style w:type="paragraph" w:styleId="Revision">
    <w:name w:val="Revision"/>
    <w:hidden/>
    <w:uiPriority w:val="99"/>
    <w:semiHidden/>
    <w:rsid w:val="00A94470"/>
    <w:rPr>
      <w:rFonts w:eastAsiaTheme="minorEastAsia"/>
      <w:sz w:val="24"/>
      <w:szCs w:val="24"/>
    </w:rPr>
  </w:style>
  <w:style w:type="character" w:styleId="FootnoteReference">
    <w:name w:val="footnote reference"/>
    <w:semiHidden/>
    <w:unhideWhenUsed/>
    <w:rsid w:val="00A94470"/>
    <w:rPr>
      <w:vertAlign w:val="superscript"/>
    </w:rPr>
  </w:style>
  <w:style w:type="table" w:styleId="TableGrid">
    <w:name w:val="Table Grid"/>
    <w:basedOn w:val="TableNormal"/>
    <w:rsid w:val="00A944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470"/>
    <w:pPr>
      <w:ind w:left="720"/>
      <w:contextualSpacing/>
    </w:pPr>
  </w:style>
  <w:style w:type="paragraph" w:styleId="NormalWeb">
    <w:name w:val="Normal (Web)"/>
    <w:basedOn w:val="Normal"/>
    <w:uiPriority w:val="99"/>
    <w:semiHidden/>
    <w:unhideWhenUsed/>
    <w:rsid w:val="00A94470"/>
    <w:pPr>
      <w:spacing w:before="100" w:beforeAutospacing="1" w:after="100" w:afterAutospacing="1"/>
    </w:pPr>
  </w:style>
  <w:style w:type="paragraph" w:styleId="NoSpacing">
    <w:name w:val="No Spacing"/>
    <w:uiPriority w:val="1"/>
    <w:qFormat/>
    <w:rsid w:val="00A94470"/>
    <w:pPr>
      <w:spacing w:after="0" w:line="240" w:lineRule="auto"/>
    </w:pPr>
    <w:rPr>
      <w:rFonts w:eastAsiaTheme="minorEastAsia"/>
    </w:rPr>
  </w:style>
  <w:style w:type="paragraph" w:styleId="DocumentMap">
    <w:name w:val="Document Map"/>
    <w:basedOn w:val="Normal"/>
    <w:link w:val="DocumentMapChar"/>
    <w:uiPriority w:val="99"/>
    <w:semiHidden/>
    <w:unhideWhenUsed/>
    <w:rsid w:val="00A94470"/>
    <w:rPr>
      <w:rFonts w:ascii="Lucida Grande" w:hAnsi="Lucida Grande" w:cs="Lucida Grande"/>
    </w:rPr>
  </w:style>
  <w:style w:type="character" w:customStyle="1" w:styleId="DocumentMapChar">
    <w:name w:val="Document Map Char"/>
    <w:basedOn w:val="DefaultParagraphFont"/>
    <w:link w:val="DocumentMap"/>
    <w:uiPriority w:val="99"/>
    <w:semiHidden/>
    <w:rsid w:val="00A94470"/>
    <w:rPr>
      <w:rFonts w:ascii="Lucida Grande" w:eastAsiaTheme="minorEastAsia" w:hAnsi="Lucida Grande" w:cs="Lucida Grande"/>
    </w:rPr>
  </w:style>
  <w:style w:type="paragraph" w:styleId="Subtitle">
    <w:name w:val="Subtitle"/>
    <w:basedOn w:val="Normal"/>
    <w:next w:val="Normal"/>
    <w:link w:val="SubtitleChar"/>
    <w:uiPriority w:val="11"/>
    <w:qFormat/>
    <w:rsid w:val="00A9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4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4470"/>
    <w:rPr>
      <w:b/>
      <w:bCs/>
    </w:rPr>
  </w:style>
  <w:style w:type="character" w:styleId="Emphasis">
    <w:name w:val="Emphasis"/>
    <w:basedOn w:val="DefaultParagraphFont"/>
    <w:uiPriority w:val="20"/>
    <w:qFormat/>
    <w:rsid w:val="00A94470"/>
    <w:rPr>
      <w:i/>
      <w:iCs/>
    </w:rPr>
  </w:style>
  <w:style w:type="paragraph" w:styleId="Quote">
    <w:name w:val="Quote"/>
    <w:basedOn w:val="Normal"/>
    <w:next w:val="Normal"/>
    <w:link w:val="QuoteChar"/>
    <w:uiPriority w:val="29"/>
    <w:qFormat/>
    <w:rsid w:val="00A94470"/>
    <w:rPr>
      <w:i/>
      <w:iCs/>
      <w:color w:val="000000" w:themeColor="text1"/>
    </w:rPr>
  </w:style>
  <w:style w:type="character" w:customStyle="1" w:styleId="QuoteChar">
    <w:name w:val="Quote Char"/>
    <w:basedOn w:val="DefaultParagraphFont"/>
    <w:link w:val="Quote"/>
    <w:uiPriority w:val="29"/>
    <w:rsid w:val="00A94470"/>
    <w:rPr>
      <w:rFonts w:eastAsiaTheme="minorEastAsia"/>
      <w:i/>
      <w:iCs/>
      <w:color w:val="000000" w:themeColor="text1"/>
    </w:rPr>
  </w:style>
  <w:style w:type="paragraph" w:styleId="IntenseQuote">
    <w:name w:val="Intense Quote"/>
    <w:basedOn w:val="Normal"/>
    <w:next w:val="Normal"/>
    <w:link w:val="IntenseQuoteChar"/>
    <w:uiPriority w:val="30"/>
    <w:qFormat/>
    <w:rsid w:val="00A9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470"/>
    <w:rPr>
      <w:rFonts w:eastAsiaTheme="minorEastAsia"/>
      <w:b/>
      <w:bCs/>
      <w:i/>
      <w:iCs/>
      <w:color w:val="4F81BD" w:themeColor="accent1"/>
    </w:rPr>
  </w:style>
  <w:style w:type="character" w:styleId="SubtleEmphasis">
    <w:name w:val="Subtle Emphasis"/>
    <w:basedOn w:val="DefaultParagraphFont"/>
    <w:uiPriority w:val="19"/>
    <w:qFormat/>
    <w:rsid w:val="00A94470"/>
    <w:rPr>
      <w:i/>
      <w:iCs/>
      <w:color w:val="808080" w:themeColor="text1" w:themeTint="7F"/>
    </w:rPr>
  </w:style>
  <w:style w:type="character" w:styleId="IntenseEmphasis">
    <w:name w:val="Intense Emphasis"/>
    <w:basedOn w:val="DefaultParagraphFont"/>
    <w:uiPriority w:val="21"/>
    <w:qFormat/>
    <w:rsid w:val="00A94470"/>
    <w:rPr>
      <w:b/>
      <w:bCs/>
      <w:i/>
      <w:iCs/>
      <w:color w:val="4F81BD" w:themeColor="accent1"/>
    </w:rPr>
  </w:style>
  <w:style w:type="character" w:styleId="SubtleReference">
    <w:name w:val="Subtle Reference"/>
    <w:basedOn w:val="DefaultParagraphFont"/>
    <w:uiPriority w:val="31"/>
    <w:qFormat/>
    <w:rsid w:val="00A94470"/>
    <w:rPr>
      <w:smallCaps/>
      <w:color w:val="C0504D" w:themeColor="accent2"/>
      <w:u w:val="single"/>
    </w:rPr>
  </w:style>
  <w:style w:type="character" w:styleId="IntenseReference">
    <w:name w:val="Intense Reference"/>
    <w:basedOn w:val="DefaultParagraphFont"/>
    <w:uiPriority w:val="32"/>
    <w:qFormat/>
    <w:rsid w:val="00A94470"/>
    <w:rPr>
      <w:b/>
      <w:bCs/>
      <w:smallCaps/>
      <w:color w:val="C0504D" w:themeColor="accent2"/>
      <w:spacing w:val="5"/>
      <w:u w:val="single"/>
    </w:rPr>
  </w:style>
  <w:style w:type="character" w:styleId="BookTitle">
    <w:name w:val="Book Title"/>
    <w:basedOn w:val="DefaultParagraphFont"/>
    <w:uiPriority w:val="33"/>
    <w:qFormat/>
    <w:rsid w:val="00A94470"/>
    <w:rPr>
      <w:b/>
      <w:bCs/>
      <w:smallCaps/>
      <w:spacing w:val="5"/>
    </w:rPr>
  </w:style>
  <w:style w:type="paragraph" w:styleId="TOCHeading">
    <w:name w:val="TOC Heading"/>
    <w:basedOn w:val="Heading1"/>
    <w:next w:val="Normal"/>
    <w:uiPriority w:val="39"/>
    <w:unhideWhenUsed/>
    <w:qFormat/>
    <w:rsid w:val="00A94470"/>
    <w:pPr>
      <w:numPr>
        <w:numId w:val="0"/>
      </w:numPr>
      <w:outlineLvl w:val="9"/>
    </w:pPr>
  </w:style>
  <w:style w:type="paragraph" w:styleId="TOC1">
    <w:name w:val="toc 1"/>
    <w:basedOn w:val="Normal"/>
    <w:next w:val="Normal"/>
    <w:autoRedefine/>
    <w:uiPriority w:val="39"/>
    <w:unhideWhenUsed/>
    <w:rsid w:val="0018533A"/>
    <w:pPr>
      <w:spacing w:after="100"/>
    </w:pPr>
  </w:style>
  <w:style w:type="paragraph" w:styleId="TOC2">
    <w:name w:val="toc 2"/>
    <w:basedOn w:val="Normal"/>
    <w:next w:val="Normal"/>
    <w:autoRedefine/>
    <w:uiPriority w:val="39"/>
    <w:unhideWhenUsed/>
    <w:rsid w:val="0018533A"/>
    <w:pPr>
      <w:spacing w:after="100"/>
      <w:ind w:left="220"/>
    </w:pPr>
  </w:style>
  <w:style w:type="paragraph" w:styleId="TOC3">
    <w:name w:val="toc 3"/>
    <w:basedOn w:val="Normal"/>
    <w:next w:val="Normal"/>
    <w:autoRedefine/>
    <w:uiPriority w:val="39"/>
    <w:unhideWhenUsed/>
    <w:rsid w:val="0018533A"/>
    <w:pPr>
      <w:spacing w:after="100"/>
      <w:ind w:left="440"/>
    </w:pPr>
  </w:style>
  <w:style w:type="character" w:styleId="CommentReference">
    <w:name w:val="annotation reference"/>
    <w:basedOn w:val="DefaultParagraphFont"/>
    <w:uiPriority w:val="99"/>
    <w:semiHidden/>
    <w:unhideWhenUsed/>
    <w:rsid w:val="00115C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urabilitymonitoring.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ho.int/iris/bitstream/10665/80270/1/9789241505277_eng.pdf?ua=1"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who.int/entity/malaria/publications/atoz/who_guidance_longevity_llins/e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hqlibdoc.who.int/publications/2011/9789241501705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8" ma:contentTypeDescription="Create a new document." ma:contentTypeScope="" ma:versionID="34e0fcf9c08bd2103e40e091284746ec">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a9a59404a9e22f1faf4de802dff1539f"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6E2C1-AF88-4E21-A7A3-5A9B5E5B2F77}">
  <ds:schemaRefs>
    <ds:schemaRef ds:uri="http://schemas.microsoft.com/sharepoint/v3/contenttype/forms"/>
  </ds:schemaRefs>
</ds:datastoreItem>
</file>

<file path=customXml/itemProps2.xml><?xml version="1.0" encoding="utf-8"?>
<ds:datastoreItem xmlns:ds="http://schemas.openxmlformats.org/officeDocument/2006/customXml" ds:itemID="{91FEE3E6-8309-4D61-AC72-4499A7F50EE2}">
  <ds:schemaRefs>
    <ds:schemaRef ds:uri="http://schemas.microsoft.com/office/2006/metadata/properties"/>
    <ds:schemaRef ds:uri="http://schemas.microsoft.com/office/infopath/2007/PartnerControls"/>
    <ds:schemaRef ds:uri="0bd7d161-68aa-4378-85c6-89c84e437c65"/>
  </ds:schemaRefs>
</ds:datastoreItem>
</file>

<file path=customXml/itemProps3.xml><?xml version="1.0" encoding="utf-8"?>
<ds:datastoreItem xmlns:ds="http://schemas.openxmlformats.org/officeDocument/2006/customXml" ds:itemID="{1B0C185F-C41E-4DE1-A7EC-99742412EA4F}">
  <ds:schemaRefs>
    <ds:schemaRef ds:uri="http://schemas.openxmlformats.org/officeDocument/2006/bibliography"/>
  </ds:schemaRefs>
</ds:datastoreItem>
</file>

<file path=customXml/itemProps4.xml><?xml version="1.0" encoding="utf-8"?>
<ds:datastoreItem xmlns:ds="http://schemas.openxmlformats.org/officeDocument/2006/customXml" ds:itemID="{3BB5E64D-D9F7-42A8-85A9-B14E7071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7208</Words>
  <Characters>41089</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Centers for Disease Control and Prevention</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Alisse Palmer</cp:lastModifiedBy>
  <cp:revision>45</cp:revision>
  <dcterms:created xsi:type="dcterms:W3CDTF">2017-10-26T21:36:00Z</dcterms:created>
  <dcterms:modified xsi:type="dcterms:W3CDTF">2022-03-14T20:32:00Z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