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6599"/>
      </w:tblGrid>
      <w:tr w:rsidR="003D31F4" w14:paraId="7F07C954" w14:textId="77777777" w:rsidTr="00D26AD0">
        <w:trPr>
          <w:trHeight w:val="561"/>
        </w:trPr>
        <w:tc>
          <w:tcPr>
            <w:tcW w:w="15388" w:type="dxa"/>
            <w:gridSpan w:val="2"/>
          </w:tcPr>
          <w:p w14:paraId="28FFF932" w14:textId="715E4B69" w:rsidR="003D31F4" w:rsidRPr="003D31F4" w:rsidRDefault="003D31F4" w:rsidP="003D31F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80F13">
              <w:rPr>
                <w:rFonts w:ascii="Arial Narrow" w:hAnsi="Arial Narrow" w:cs="Arial"/>
                <w:b/>
                <w:bCs/>
                <w:color w:val="FF0000"/>
                <w:sz w:val="36"/>
                <w:szCs w:val="36"/>
              </w:rPr>
              <w:t>STANDARD</w:t>
            </w:r>
            <w:r w:rsidRPr="003D31F4">
              <w:rPr>
                <w:rFonts w:ascii="Arial Narrow" w:hAnsi="Arial Narrow" w:cs="Arial"/>
                <w:b/>
                <w:bCs/>
                <w:sz w:val="36"/>
                <w:szCs w:val="36"/>
              </w:rPr>
              <w:t xml:space="preserve"> AND </w:t>
            </w:r>
            <w:r w:rsidRPr="00E80F13">
              <w:rPr>
                <w:rFonts w:ascii="Arial Narrow" w:hAnsi="Arial Narrow" w:cs="Arial"/>
                <w:b/>
                <w:bCs/>
                <w:color w:val="0070C0"/>
                <w:sz w:val="36"/>
                <w:szCs w:val="36"/>
              </w:rPr>
              <w:t>STREAMLINED</w:t>
            </w:r>
            <w:r w:rsidRPr="003D31F4">
              <w:rPr>
                <w:rFonts w:ascii="Arial Narrow" w:hAnsi="Arial Narrow" w:cs="Arial"/>
                <w:b/>
                <w:bCs/>
                <w:sz w:val="36"/>
                <w:szCs w:val="36"/>
              </w:rPr>
              <w:t xml:space="preserve"> DURABILITY MONITORING</w:t>
            </w:r>
          </w:p>
        </w:tc>
      </w:tr>
      <w:tr w:rsidR="002E0696" w14:paraId="5B4B4453" w14:textId="77777777" w:rsidTr="00D26AD0">
        <w:trPr>
          <w:trHeight w:val="1574"/>
        </w:trPr>
        <w:tc>
          <w:tcPr>
            <w:tcW w:w="15388" w:type="dxa"/>
            <w:gridSpan w:val="2"/>
          </w:tcPr>
          <w:p w14:paraId="3A5CBDFB" w14:textId="5ECE0813" w:rsidR="002E0696" w:rsidRPr="002E0696" w:rsidRDefault="002E0696" w:rsidP="002E0696">
            <w:pPr>
              <w:rPr>
                <w:rFonts w:ascii="Garamond" w:hAnsi="Garamond"/>
              </w:rPr>
            </w:pPr>
            <w:r w:rsidRPr="002E0696">
              <w:rPr>
                <w:rFonts w:ascii="Garamond" w:hAnsi="Garamond"/>
              </w:rPr>
              <w:t>PMI supports two approaches to durability monitoring (DM):</w:t>
            </w:r>
          </w:p>
          <w:p w14:paraId="12F11563" w14:textId="485A9848" w:rsidR="002E0696" w:rsidRPr="002E0696" w:rsidRDefault="002E0696" w:rsidP="002E0696">
            <w:pPr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2E0696">
              <w:rPr>
                <w:rFonts w:ascii="Garamond" w:hAnsi="Garamond"/>
              </w:rPr>
              <w:t>Standard DM approach can be implemented where there is no or limited country data available on ITN durability</w:t>
            </w:r>
            <w:r>
              <w:rPr>
                <w:rFonts w:ascii="Garamond" w:hAnsi="Garamond"/>
              </w:rPr>
              <w:t>, or if an issue has been noted.</w:t>
            </w:r>
          </w:p>
          <w:p w14:paraId="45CE2A37" w14:textId="497FDF40" w:rsidR="002E0696" w:rsidRPr="002E0696" w:rsidRDefault="002E0696" w:rsidP="002E0696">
            <w:pPr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2E0696">
              <w:rPr>
                <w:rFonts w:ascii="Garamond" w:hAnsi="Garamond"/>
              </w:rPr>
              <w:t xml:space="preserve">Streamlined DM approach should be considered in countries that have </w:t>
            </w:r>
            <w:r w:rsidR="00E8513E">
              <w:rPr>
                <w:rFonts w:ascii="Garamond" w:hAnsi="Garamond"/>
              </w:rPr>
              <w:t>previously collected</w:t>
            </w:r>
            <w:r w:rsidRPr="002E0696">
              <w:rPr>
                <w:rFonts w:ascii="Garamond" w:hAnsi="Garamond"/>
              </w:rPr>
              <w:t xml:space="preserve"> DM data and are primarily interested in evaluating bioefficacy, particularly for new types of nets. </w:t>
            </w:r>
          </w:p>
          <w:p w14:paraId="7045CCFC" w14:textId="61DF8E64" w:rsidR="00AF63BA" w:rsidRDefault="00AF63BA" w:rsidP="002E069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Both approaches include pre-distribution testing of ITNs, and a</w:t>
            </w:r>
            <w:r w:rsidR="002E0696" w:rsidRPr="002E0696">
              <w:rPr>
                <w:rFonts w:ascii="Garamond" w:hAnsi="Garamond"/>
              </w:rPr>
              <w:t xml:space="preserve"> typical study includes two sites (either two products at similar sites or one product at two sites).</w:t>
            </w:r>
          </w:p>
          <w:p w14:paraId="4BB78A8E" w14:textId="0D00BC55" w:rsidR="002E0696" w:rsidRPr="002E0696" w:rsidRDefault="00AF63BA" w:rsidP="002E069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The streamlined approach requires less time for fieldwork and will cost less than the standard approach for the same set of ITN brands being monitored.</w:t>
            </w:r>
          </w:p>
        </w:tc>
      </w:tr>
      <w:tr w:rsidR="00DC077C" w14:paraId="1B9DD3F8" w14:textId="77777777" w:rsidTr="00D26AD0">
        <w:trPr>
          <w:trHeight w:val="340"/>
        </w:trPr>
        <w:tc>
          <w:tcPr>
            <w:tcW w:w="15388" w:type="dxa"/>
            <w:gridSpan w:val="2"/>
            <w:shd w:val="clear" w:color="auto" w:fill="FF0000"/>
            <w:vAlign w:val="center"/>
          </w:tcPr>
          <w:p w14:paraId="5911D178" w14:textId="14070EE9" w:rsidR="00DC077C" w:rsidRPr="00E80F13" w:rsidRDefault="00DC077C" w:rsidP="00DC077C">
            <w:pPr>
              <w:rPr>
                <w:color w:val="FFFFFF" w:themeColor="background1"/>
              </w:rPr>
            </w:pPr>
            <w:r w:rsidRPr="00E80F13">
              <w:rPr>
                <w:rFonts w:ascii="Arial Narrow" w:hAnsi="Arial Narrow"/>
                <w:b/>
                <w:bCs/>
                <w:color w:val="FFFFFF" w:themeColor="background1"/>
              </w:rPr>
              <w:t>Standard Durability Monitoring</w:t>
            </w:r>
            <w:r w:rsidRPr="00E80F13">
              <w:rPr>
                <w:rFonts w:ascii="Arial Narrow" w:hAnsi="Arial Narrow"/>
                <w:color w:val="FFFFFF" w:themeColor="background1"/>
              </w:rPr>
              <w:t xml:space="preserve"> </w:t>
            </w:r>
            <w:r>
              <w:rPr>
                <w:rFonts w:ascii="Arial Narrow" w:hAnsi="Arial Narrow"/>
                <w:color w:val="FFFFFF" w:themeColor="background1"/>
              </w:rPr>
              <w:t>involves</w:t>
            </w:r>
            <w:r w:rsidRPr="00E80F13">
              <w:rPr>
                <w:rFonts w:ascii="Arial Narrow" w:hAnsi="Arial Narrow"/>
                <w:color w:val="FFFFFF" w:themeColor="background1"/>
              </w:rPr>
              <w:t xml:space="preserve"> </w:t>
            </w:r>
            <w:r>
              <w:rPr>
                <w:rFonts w:ascii="Arial Narrow" w:hAnsi="Arial Narrow"/>
                <w:color w:val="FFFFFF" w:themeColor="background1"/>
              </w:rPr>
              <w:t xml:space="preserve">pre-distribution tests and </w:t>
            </w:r>
            <w:r w:rsidRPr="00E80F13">
              <w:rPr>
                <w:rFonts w:ascii="Arial Narrow" w:hAnsi="Arial Narrow"/>
                <w:color w:val="FFFFFF" w:themeColor="background1"/>
              </w:rPr>
              <w:t xml:space="preserve">four rounds of </w:t>
            </w:r>
            <w:r>
              <w:rPr>
                <w:rFonts w:ascii="Arial Narrow" w:hAnsi="Arial Narrow"/>
                <w:color w:val="FFFFFF" w:themeColor="background1"/>
              </w:rPr>
              <w:t>fieldwork</w:t>
            </w:r>
            <w:r w:rsidRPr="00E80F13">
              <w:rPr>
                <w:rFonts w:ascii="Arial Narrow" w:hAnsi="Arial Narrow"/>
                <w:color w:val="FFFFFF" w:themeColor="background1"/>
              </w:rPr>
              <w:t xml:space="preserve"> over three years</w:t>
            </w:r>
          </w:p>
        </w:tc>
      </w:tr>
      <w:tr w:rsidR="00C2472A" w14:paraId="35502150" w14:textId="77777777" w:rsidTr="006E715A">
        <w:trPr>
          <w:trHeight w:val="3995"/>
        </w:trPr>
        <w:tc>
          <w:tcPr>
            <w:tcW w:w="8789" w:type="dxa"/>
          </w:tcPr>
          <w:p w14:paraId="5B539FA4" w14:textId="7512C187" w:rsidR="00C2472A" w:rsidRDefault="00E71217" w:rsidP="006E715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973F4B" wp14:editId="2C2FF9ED">
                  <wp:extent cx="5400000" cy="19904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0" cy="1990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9" w:type="dxa"/>
          </w:tcPr>
          <w:p w14:paraId="07407707" w14:textId="393D0CC0" w:rsidR="00AC2629" w:rsidRPr="00AC5D64" w:rsidRDefault="00AC5D64">
            <w:pPr>
              <w:rPr>
                <w:rFonts w:ascii="Garamond" w:hAnsi="Garamond"/>
                <w:b/>
                <w:bCs/>
              </w:rPr>
            </w:pPr>
            <w:r w:rsidRPr="00AC5D64">
              <w:rPr>
                <w:rFonts w:ascii="Garamond" w:hAnsi="Garamond"/>
                <w:b/>
                <w:bCs/>
              </w:rPr>
              <w:t>Primary objective</w:t>
            </w:r>
            <w:r w:rsidR="00E33C57">
              <w:rPr>
                <w:rFonts w:ascii="Garamond" w:hAnsi="Garamond"/>
                <w:b/>
                <w:bCs/>
              </w:rPr>
              <w:t>s</w:t>
            </w:r>
          </w:p>
          <w:p w14:paraId="2812A4FB" w14:textId="75AF4996" w:rsidR="00AC5D64" w:rsidRPr="00210CD5" w:rsidRDefault="00E33C57" w:rsidP="00210CD5">
            <w:pPr>
              <w:pStyle w:val="ListParagraph"/>
              <w:numPr>
                <w:ilvl w:val="0"/>
                <w:numId w:val="2"/>
              </w:numPr>
              <w:ind w:left="311" w:hanging="283"/>
              <w:rPr>
                <w:rFonts w:ascii="Garamond" w:hAnsi="Garamond"/>
              </w:rPr>
            </w:pPr>
            <w:r w:rsidRPr="00210CD5">
              <w:rPr>
                <w:rFonts w:ascii="Garamond" w:hAnsi="Garamond"/>
              </w:rPr>
              <w:t xml:space="preserve">Assess ITN survivorship (attrition and physical integrity), </w:t>
            </w:r>
            <w:r w:rsidR="00F26BF6" w:rsidRPr="00210CD5">
              <w:rPr>
                <w:rFonts w:ascii="Garamond" w:hAnsi="Garamond"/>
              </w:rPr>
              <w:t>identify major determinants of field performance and assess insecticidal efficacy.</w:t>
            </w:r>
          </w:p>
          <w:p w14:paraId="3876FA42" w14:textId="2ED514DE" w:rsidR="00DD621D" w:rsidRDefault="00D45429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Implementation</w:t>
            </w:r>
          </w:p>
          <w:p w14:paraId="3020C113" w14:textId="2F61E0F7" w:rsidR="001A0D25" w:rsidRPr="00422A38" w:rsidRDefault="001A0D25" w:rsidP="00210CD5">
            <w:pPr>
              <w:pStyle w:val="ListParagraph"/>
              <w:numPr>
                <w:ilvl w:val="0"/>
                <w:numId w:val="2"/>
              </w:numPr>
              <w:ind w:left="311" w:hanging="283"/>
              <w:rPr>
                <w:rFonts w:ascii="Garamond" w:hAnsi="Garamond"/>
              </w:rPr>
            </w:pPr>
            <w:r w:rsidRPr="00422A38">
              <w:rPr>
                <w:rFonts w:ascii="Garamond" w:hAnsi="Garamond"/>
              </w:rPr>
              <w:t>A cohort of approximately 4</w:t>
            </w:r>
            <w:r w:rsidR="005150E2" w:rsidRPr="00422A38">
              <w:rPr>
                <w:rFonts w:ascii="Garamond" w:hAnsi="Garamond"/>
              </w:rPr>
              <w:t>1</w:t>
            </w:r>
            <w:r w:rsidRPr="00422A38">
              <w:rPr>
                <w:rFonts w:ascii="Garamond" w:hAnsi="Garamond"/>
              </w:rPr>
              <w:t>0 ITNs per site is generated</w:t>
            </w:r>
            <w:r w:rsidR="00D44E97" w:rsidRPr="00422A38">
              <w:rPr>
                <w:rFonts w:ascii="Garamond" w:hAnsi="Garamond"/>
              </w:rPr>
              <w:t xml:space="preserve"> at </w:t>
            </w:r>
            <w:r w:rsidR="001E0B62">
              <w:rPr>
                <w:rFonts w:ascii="Garamond" w:hAnsi="Garamond"/>
              </w:rPr>
              <w:t xml:space="preserve">a </w:t>
            </w:r>
            <w:r w:rsidR="00F95857">
              <w:rPr>
                <w:rFonts w:ascii="Garamond" w:hAnsi="Garamond"/>
              </w:rPr>
              <w:t xml:space="preserve">first </w:t>
            </w:r>
            <w:r w:rsidR="001E0B62">
              <w:rPr>
                <w:rFonts w:ascii="Garamond" w:hAnsi="Garamond"/>
              </w:rPr>
              <w:t>timepoint</w:t>
            </w:r>
            <w:r w:rsidR="0060080E">
              <w:rPr>
                <w:rFonts w:ascii="Garamond" w:hAnsi="Garamond"/>
              </w:rPr>
              <w:t>,</w:t>
            </w:r>
            <w:r w:rsidR="001E0B62">
              <w:rPr>
                <w:rFonts w:ascii="Garamond" w:hAnsi="Garamond"/>
              </w:rPr>
              <w:t xml:space="preserve"> </w:t>
            </w:r>
            <w:r w:rsidR="00721E16" w:rsidRPr="00422A38">
              <w:rPr>
                <w:rFonts w:ascii="Garamond" w:hAnsi="Garamond"/>
              </w:rPr>
              <w:t xml:space="preserve">1-6 months after the campaign, </w:t>
            </w:r>
            <w:r w:rsidR="00C52AE8" w:rsidRPr="00422A38">
              <w:rPr>
                <w:rFonts w:ascii="Garamond" w:hAnsi="Garamond"/>
              </w:rPr>
              <w:t xml:space="preserve">typically </w:t>
            </w:r>
            <w:r w:rsidR="00E07297" w:rsidRPr="00422A38">
              <w:rPr>
                <w:rFonts w:ascii="Garamond" w:hAnsi="Garamond"/>
              </w:rPr>
              <w:t>from 15 clusters of 10 hou</w:t>
            </w:r>
            <w:r w:rsidR="005150E2" w:rsidRPr="00422A38">
              <w:rPr>
                <w:rFonts w:ascii="Garamond" w:hAnsi="Garamond"/>
              </w:rPr>
              <w:t>seholds.</w:t>
            </w:r>
            <w:r w:rsidR="00D44E97" w:rsidRPr="00422A38">
              <w:rPr>
                <w:rFonts w:ascii="Garamond" w:hAnsi="Garamond"/>
              </w:rPr>
              <w:t xml:space="preserve"> </w:t>
            </w:r>
          </w:p>
          <w:p w14:paraId="50B091C2" w14:textId="11F23FDE" w:rsidR="00D45429" w:rsidRPr="00422A38" w:rsidRDefault="00D44E97" w:rsidP="00210CD5">
            <w:pPr>
              <w:pStyle w:val="ListParagraph"/>
              <w:numPr>
                <w:ilvl w:val="0"/>
                <w:numId w:val="2"/>
              </w:numPr>
              <w:ind w:left="311" w:hanging="283"/>
              <w:rPr>
                <w:rFonts w:ascii="Garamond" w:hAnsi="Garamond"/>
              </w:rPr>
            </w:pPr>
            <w:r w:rsidRPr="00422A38">
              <w:rPr>
                <w:rFonts w:ascii="Garamond" w:hAnsi="Garamond"/>
              </w:rPr>
              <w:t xml:space="preserve">Fieldwork </w:t>
            </w:r>
            <w:r w:rsidR="00F95857">
              <w:rPr>
                <w:rFonts w:ascii="Garamond" w:hAnsi="Garamond"/>
              </w:rPr>
              <w:t xml:space="preserve">= </w:t>
            </w:r>
            <w:r w:rsidR="00BD4F66" w:rsidRPr="00422A38">
              <w:rPr>
                <w:rFonts w:ascii="Garamond" w:hAnsi="Garamond"/>
              </w:rPr>
              <w:t xml:space="preserve">25 days </w:t>
            </w:r>
            <w:r w:rsidRPr="00422A38">
              <w:rPr>
                <w:rFonts w:ascii="Garamond" w:hAnsi="Garamond"/>
              </w:rPr>
              <w:t xml:space="preserve">at </w:t>
            </w:r>
            <w:r w:rsidR="0060080E">
              <w:rPr>
                <w:rFonts w:ascii="Garamond" w:hAnsi="Garamond"/>
              </w:rPr>
              <w:t>first timepoint, then</w:t>
            </w:r>
            <w:r w:rsidRPr="00422A38">
              <w:rPr>
                <w:rFonts w:ascii="Garamond" w:hAnsi="Garamond"/>
              </w:rPr>
              <w:t xml:space="preserve"> </w:t>
            </w:r>
            <w:r w:rsidR="00134DBB" w:rsidRPr="00422A38">
              <w:rPr>
                <w:rFonts w:ascii="Garamond" w:hAnsi="Garamond"/>
              </w:rPr>
              <w:t>15-20 days at follow-up</w:t>
            </w:r>
            <w:r w:rsidR="0060080E">
              <w:rPr>
                <w:rFonts w:ascii="Garamond" w:hAnsi="Garamond"/>
              </w:rPr>
              <w:t xml:space="preserve"> timepoints</w:t>
            </w:r>
            <w:r w:rsidR="007B54C8">
              <w:rPr>
                <w:rFonts w:ascii="Garamond" w:hAnsi="Garamond"/>
              </w:rPr>
              <w:t>; 1 site = 1 team x 4 people</w:t>
            </w:r>
            <w:r w:rsidR="00134DBB" w:rsidRPr="00422A38">
              <w:rPr>
                <w:rFonts w:ascii="Garamond" w:hAnsi="Garamond"/>
              </w:rPr>
              <w:t xml:space="preserve"> </w:t>
            </w:r>
          </w:p>
          <w:p w14:paraId="198E6D22" w14:textId="243B980F" w:rsidR="00D45429" w:rsidRPr="00422A38" w:rsidRDefault="005150E2" w:rsidP="00210CD5">
            <w:pPr>
              <w:pStyle w:val="ListParagraph"/>
              <w:numPr>
                <w:ilvl w:val="0"/>
                <w:numId w:val="2"/>
              </w:numPr>
              <w:ind w:left="311" w:hanging="283"/>
              <w:rPr>
                <w:rFonts w:ascii="Garamond" w:hAnsi="Garamond"/>
              </w:rPr>
            </w:pPr>
            <w:r w:rsidRPr="00422A38">
              <w:rPr>
                <w:rFonts w:ascii="Garamond" w:hAnsi="Garamond"/>
              </w:rPr>
              <w:t xml:space="preserve">All ITNs remaining in the cohort are assessed for holes at each </w:t>
            </w:r>
            <w:r w:rsidR="001E0B62">
              <w:rPr>
                <w:rFonts w:ascii="Garamond" w:hAnsi="Garamond"/>
              </w:rPr>
              <w:t>timepoint</w:t>
            </w:r>
            <w:r w:rsidR="009176A3" w:rsidRPr="00422A38">
              <w:rPr>
                <w:rFonts w:ascii="Garamond" w:hAnsi="Garamond"/>
              </w:rPr>
              <w:t xml:space="preserve">, and household data is </w:t>
            </w:r>
            <w:r w:rsidR="00957A78" w:rsidRPr="00422A38">
              <w:rPr>
                <w:rFonts w:ascii="Garamond" w:hAnsi="Garamond"/>
              </w:rPr>
              <w:t xml:space="preserve">additionally </w:t>
            </w:r>
            <w:r w:rsidR="009176A3" w:rsidRPr="00422A38">
              <w:rPr>
                <w:rFonts w:ascii="Garamond" w:hAnsi="Garamond"/>
              </w:rPr>
              <w:t xml:space="preserve">captured on residents, </w:t>
            </w:r>
            <w:r w:rsidR="00E73368" w:rsidRPr="00422A38">
              <w:rPr>
                <w:rFonts w:ascii="Garamond" w:hAnsi="Garamond"/>
              </w:rPr>
              <w:t xml:space="preserve">net use, </w:t>
            </w:r>
            <w:r w:rsidR="00957A78" w:rsidRPr="00422A38">
              <w:rPr>
                <w:rFonts w:ascii="Garamond" w:hAnsi="Garamond"/>
              </w:rPr>
              <w:t>net care and repair, and other nets owned by the household.</w:t>
            </w:r>
          </w:p>
          <w:p w14:paraId="1938DBAC" w14:textId="3C1FCC23" w:rsidR="00C2472A" w:rsidRPr="00AC5D64" w:rsidRDefault="0019639A" w:rsidP="00210CD5">
            <w:pPr>
              <w:pStyle w:val="ListParagraph"/>
              <w:numPr>
                <w:ilvl w:val="0"/>
                <w:numId w:val="2"/>
              </w:numPr>
              <w:ind w:left="311" w:hanging="283"/>
              <w:rPr>
                <w:rFonts w:ascii="Garamond" w:hAnsi="Garamond"/>
              </w:rPr>
            </w:pPr>
            <w:r w:rsidRPr="00422A38">
              <w:rPr>
                <w:rFonts w:ascii="Garamond" w:hAnsi="Garamond"/>
              </w:rPr>
              <w:t xml:space="preserve">Costs are higher than </w:t>
            </w:r>
            <w:r w:rsidR="000A0386" w:rsidRPr="00422A38">
              <w:rPr>
                <w:rFonts w:ascii="Garamond" w:hAnsi="Garamond"/>
              </w:rPr>
              <w:t>the</w:t>
            </w:r>
            <w:r w:rsidRPr="00422A38">
              <w:rPr>
                <w:rFonts w:ascii="Garamond" w:hAnsi="Garamond"/>
              </w:rPr>
              <w:t xml:space="preserve"> streamlined approach due </w:t>
            </w:r>
            <w:r>
              <w:rPr>
                <w:rFonts w:ascii="Garamond" w:hAnsi="Garamond"/>
              </w:rPr>
              <w:t>to following-up all cohort ITNs and a longer questionnaire.</w:t>
            </w:r>
          </w:p>
        </w:tc>
      </w:tr>
      <w:tr w:rsidR="00DC077C" w14:paraId="07D94D00" w14:textId="77777777" w:rsidTr="00D26AD0">
        <w:trPr>
          <w:trHeight w:val="340"/>
        </w:trPr>
        <w:tc>
          <w:tcPr>
            <w:tcW w:w="15388" w:type="dxa"/>
            <w:gridSpan w:val="2"/>
            <w:shd w:val="clear" w:color="auto" w:fill="0070C0"/>
            <w:vAlign w:val="center"/>
          </w:tcPr>
          <w:p w14:paraId="72ECF754" w14:textId="43CCEDF4" w:rsidR="00DC077C" w:rsidRPr="00E80F13" w:rsidRDefault="00DC077C" w:rsidP="00DC077C">
            <w:pPr>
              <w:rPr>
                <w:color w:val="FFFFFF" w:themeColor="background1"/>
              </w:rPr>
            </w:pPr>
            <w:r w:rsidRPr="00E80F13">
              <w:rPr>
                <w:rFonts w:ascii="Arial Narrow" w:hAnsi="Arial Narrow"/>
                <w:b/>
                <w:bCs/>
                <w:color w:val="FFFFFF" w:themeColor="background1"/>
              </w:rPr>
              <w:t>Streamlined Durability Monitoring</w:t>
            </w:r>
            <w:r w:rsidRPr="00E80F13">
              <w:rPr>
                <w:rFonts w:ascii="Arial Narrow" w:hAnsi="Arial Narrow"/>
                <w:color w:val="FFFFFF" w:themeColor="background1"/>
              </w:rPr>
              <w:t xml:space="preserve"> </w:t>
            </w:r>
            <w:r>
              <w:rPr>
                <w:rFonts w:ascii="Arial Narrow" w:hAnsi="Arial Narrow"/>
                <w:color w:val="FFFFFF" w:themeColor="background1"/>
              </w:rPr>
              <w:t>involves</w:t>
            </w:r>
            <w:r w:rsidRPr="00E80F13">
              <w:rPr>
                <w:rFonts w:ascii="Arial Narrow" w:hAnsi="Arial Narrow"/>
                <w:color w:val="FFFFFF" w:themeColor="background1"/>
              </w:rPr>
              <w:t xml:space="preserve"> </w:t>
            </w:r>
            <w:r>
              <w:rPr>
                <w:rFonts w:ascii="Arial Narrow" w:hAnsi="Arial Narrow"/>
                <w:color w:val="FFFFFF" w:themeColor="background1"/>
              </w:rPr>
              <w:t xml:space="preserve">pre-distribution tests and </w:t>
            </w:r>
            <w:r w:rsidRPr="00E80F13">
              <w:rPr>
                <w:rFonts w:ascii="Arial Narrow" w:hAnsi="Arial Narrow"/>
                <w:color w:val="FFFFFF" w:themeColor="background1"/>
              </w:rPr>
              <w:t xml:space="preserve">three rounds of </w:t>
            </w:r>
            <w:r>
              <w:rPr>
                <w:rFonts w:ascii="Arial Narrow" w:hAnsi="Arial Narrow"/>
                <w:color w:val="FFFFFF" w:themeColor="background1"/>
              </w:rPr>
              <w:t>fieldwork</w:t>
            </w:r>
            <w:r w:rsidRPr="00E80F13">
              <w:rPr>
                <w:rFonts w:ascii="Arial Narrow" w:hAnsi="Arial Narrow"/>
                <w:color w:val="FFFFFF" w:themeColor="background1"/>
              </w:rPr>
              <w:t xml:space="preserve"> over three years</w:t>
            </w:r>
          </w:p>
        </w:tc>
      </w:tr>
      <w:tr w:rsidR="00C2472A" w14:paraId="2FFCE4B7" w14:textId="77777777" w:rsidTr="006E715A">
        <w:tc>
          <w:tcPr>
            <w:tcW w:w="8789" w:type="dxa"/>
          </w:tcPr>
          <w:p w14:paraId="1E76235D" w14:textId="3029E362" w:rsidR="00C2472A" w:rsidRDefault="006641AC" w:rsidP="006E715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0505D6" wp14:editId="2339CE46">
                  <wp:extent cx="5400000" cy="197090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0" cy="1970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9" w:type="dxa"/>
          </w:tcPr>
          <w:p w14:paraId="342FA244" w14:textId="77777777" w:rsidR="00F26BF6" w:rsidRPr="00AC5D64" w:rsidRDefault="00F26BF6" w:rsidP="00F26BF6">
            <w:pPr>
              <w:rPr>
                <w:rFonts w:ascii="Garamond" w:hAnsi="Garamond"/>
                <w:b/>
                <w:bCs/>
              </w:rPr>
            </w:pPr>
            <w:r w:rsidRPr="00AC5D64">
              <w:rPr>
                <w:rFonts w:ascii="Garamond" w:hAnsi="Garamond"/>
                <w:b/>
                <w:bCs/>
              </w:rPr>
              <w:t>Primary objective</w:t>
            </w:r>
            <w:r>
              <w:rPr>
                <w:rFonts w:ascii="Garamond" w:hAnsi="Garamond"/>
                <w:b/>
                <w:bCs/>
              </w:rPr>
              <w:t>s</w:t>
            </w:r>
          </w:p>
          <w:p w14:paraId="6CC4B42E" w14:textId="77777777" w:rsidR="00C2472A" w:rsidRDefault="00F26BF6" w:rsidP="00210CD5">
            <w:pPr>
              <w:pStyle w:val="ListParagraph"/>
              <w:numPr>
                <w:ilvl w:val="0"/>
                <w:numId w:val="2"/>
              </w:numPr>
              <w:ind w:left="311" w:hanging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Assess </w:t>
            </w:r>
            <w:r w:rsidR="000D63F2">
              <w:rPr>
                <w:rFonts w:ascii="Garamond" w:hAnsi="Garamond"/>
              </w:rPr>
              <w:t>insecticidal efficacy and monitor attrition and physical integrity.</w:t>
            </w:r>
          </w:p>
          <w:p w14:paraId="1759E5A7" w14:textId="77777777" w:rsidR="0019639A" w:rsidRDefault="0019639A" w:rsidP="0019639A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Implementation</w:t>
            </w:r>
          </w:p>
          <w:p w14:paraId="6ECBE4B3" w14:textId="116D2CC1" w:rsidR="0019639A" w:rsidRPr="00422A38" w:rsidRDefault="0019639A" w:rsidP="00210CD5">
            <w:pPr>
              <w:pStyle w:val="ListParagraph"/>
              <w:numPr>
                <w:ilvl w:val="0"/>
                <w:numId w:val="2"/>
              </w:numPr>
              <w:ind w:left="311" w:hanging="283"/>
              <w:rPr>
                <w:rFonts w:ascii="Garamond" w:hAnsi="Garamond"/>
              </w:rPr>
            </w:pPr>
            <w:r w:rsidRPr="00422A38">
              <w:rPr>
                <w:rFonts w:ascii="Garamond" w:hAnsi="Garamond"/>
              </w:rPr>
              <w:t xml:space="preserve">A </w:t>
            </w:r>
            <w:r w:rsidR="00925428" w:rsidRPr="00422A38">
              <w:rPr>
                <w:rFonts w:ascii="Garamond" w:hAnsi="Garamond"/>
              </w:rPr>
              <w:t>sampling frame o</w:t>
            </w:r>
            <w:r w:rsidRPr="00422A38">
              <w:rPr>
                <w:rFonts w:ascii="Garamond" w:hAnsi="Garamond"/>
              </w:rPr>
              <w:t xml:space="preserve">f approximately </w:t>
            </w:r>
            <w:r w:rsidR="00A42636" w:rsidRPr="00422A38">
              <w:rPr>
                <w:rFonts w:ascii="Garamond" w:hAnsi="Garamond"/>
              </w:rPr>
              <w:t>2</w:t>
            </w:r>
            <w:r w:rsidR="00925428" w:rsidRPr="00422A38">
              <w:rPr>
                <w:rFonts w:ascii="Garamond" w:hAnsi="Garamond"/>
              </w:rPr>
              <w:t>60</w:t>
            </w:r>
            <w:r w:rsidRPr="00422A38">
              <w:rPr>
                <w:rFonts w:ascii="Garamond" w:hAnsi="Garamond"/>
              </w:rPr>
              <w:t xml:space="preserve"> ITNs per site is generated </w:t>
            </w:r>
            <w:r w:rsidR="00721E16" w:rsidRPr="00422A38">
              <w:rPr>
                <w:rFonts w:ascii="Garamond" w:hAnsi="Garamond"/>
              </w:rPr>
              <w:t>12 months after the campaign</w:t>
            </w:r>
            <w:r w:rsidRPr="00422A38">
              <w:rPr>
                <w:rFonts w:ascii="Garamond" w:hAnsi="Garamond"/>
              </w:rPr>
              <w:t>,</w:t>
            </w:r>
            <w:r w:rsidR="00C52AE8" w:rsidRPr="00422A38">
              <w:rPr>
                <w:rFonts w:ascii="Garamond" w:hAnsi="Garamond"/>
              </w:rPr>
              <w:t xml:space="preserve"> typically </w:t>
            </w:r>
            <w:r w:rsidRPr="00422A38">
              <w:rPr>
                <w:rFonts w:ascii="Garamond" w:hAnsi="Garamond"/>
              </w:rPr>
              <w:t xml:space="preserve">from 15 clusters of 10 households. </w:t>
            </w:r>
          </w:p>
          <w:p w14:paraId="1DFF6FD6" w14:textId="3C1A4893" w:rsidR="007B54C8" w:rsidRPr="00422A38" w:rsidRDefault="007B54C8" w:rsidP="007B54C8">
            <w:pPr>
              <w:pStyle w:val="ListParagraph"/>
              <w:numPr>
                <w:ilvl w:val="0"/>
                <w:numId w:val="2"/>
              </w:numPr>
              <w:ind w:left="311" w:hanging="283"/>
              <w:rPr>
                <w:rFonts w:ascii="Garamond" w:hAnsi="Garamond"/>
              </w:rPr>
            </w:pPr>
            <w:r w:rsidRPr="00422A38">
              <w:rPr>
                <w:rFonts w:ascii="Garamond" w:hAnsi="Garamond"/>
              </w:rPr>
              <w:t xml:space="preserve">Fieldwork </w:t>
            </w:r>
            <w:r>
              <w:rPr>
                <w:rFonts w:ascii="Garamond" w:hAnsi="Garamond"/>
              </w:rPr>
              <w:t>= 18</w:t>
            </w:r>
            <w:r w:rsidRPr="00422A38">
              <w:rPr>
                <w:rFonts w:ascii="Garamond" w:hAnsi="Garamond"/>
              </w:rPr>
              <w:t xml:space="preserve"> days at </w:t>
            </w:r>
            <w:r>
              <w:rPr>
                <w:rFonts w:ascii="Garamond" w:hAnsi="Garamond"/>
              </w:rPr>
              <w:t>12-month timepoint, then</w:t>
            </w:r>
            <w:r w:rsidRPr="00422A38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8</w:t>
            </w:r>
            <w:r w:rsidRPr="00422A38">
              <w:rPr>
                <w:rFonts w:ascii="Garamond" w:hAnsi="Garamond"/>
              </w:rPr>
              <w:t xml:space="preserve"> days at follow-up</w:t>
            </w:r>
            <w:r>
              <w:rPr>
                <w:rFonts w:ascii="Garamond" w:hAnsi="Garamond"/>
              </w:rPr>
              <w:t xml:space="preserve"> timepoints; 1 site = 1 team x </w:t>
            </w:r>
            <w:r w:rsidR="00CB3644">
              <w:rPr>
                <w:rFonts w:ascii="Garamond" w:hAnsi="Garamond"/>
              </w:rPr>
              <w:t>1 or 2</w:t>
            </w:r>
            <w:r>
              <w:rPr>
                <w:rFonts w:ascii="Garamond" w:hAnsi="Garamond"/>
              </w:rPr>
              <w:t xml:space="preserve"> people</w:t>
            </w:r>
            <w:r w:rsidRPr="00422A38">
              <w:rPr>
                <w:rFonts w:ascii="Garamond" w:hAnsi="Garamond"/>
              </w:rPr>
              <w:t xml:space="preserve"> </w:t>
            </w:r>
          </w:p>
          <w:p w14:paraId="38A5B0BB" w14:textId="71144A91" w:rsidR="00AD5810" w:rsidRPr="00422A38" w:rsidRDefault="00864F28" w:rsidP="00210CD5">
            <w:pPr>
              <w:pStyle w:val="ListParagraph"/>
              <w:numPr>
                <w:ilvl w:val="0"/>
                <w:numId w:val="2"/>
              </w:numPr>
              <w:ind w:left="311" w:hanging="283"/>
              <w:rPr>
                <w:rFonts w:ascii="Garamond" w:hAnsi="Garamond"/>
              </w:rPr>
            </w:pPr>
            <w:r w:rsidRPr="00422A38">
              <w:rPr>
                <w:rFonts w:ascii="Garamond" w:hAnsi="Garamond"/>
              </w:rPr>
              <w:t xml:space="preserve">At each fieldwork </w:t>
            </w:r>
            <w:r w:rsidR="00456783">
              <w:rPr>
                <w:rFonts w:ascii="Garamond" w:hAnsi="Garamond"/>
              </w:rPr>
              <w:t>timepoint</w:t>
            </w:r>
            <w:r w:rsidRPr="00422A38">
              <w:rPr>
                <w:rFonts w:ascii="Garamond" w:hAnsi="Garamond"/>
              </w:rPr>
              <w:t>, 30 ITNs per site are randomly sampled for withdrawal from households (90 ITNs per site over three years)</w:t>
            </w:r>
            <w:r w:rsidR="00AD5810" w:rsidRPr="00422A38">
              <w:rPr>
                <w:rFonts w:ascii="Garamond" w:hAnsi="Garamond"/>
              </w:rPr>
              <w:t xml:space="preserve">. Withdrawn ITNs undergo a hole assessment in the laboratory prior to bioassays and chemical testing. </w:t>
            </w:r>
          </w:p>
          <w:p w14:paraId="2BD89C9C" w14:textId="48FF9A3E" w:rsidR="0019639A" w:rsidRPr="00AC5D64" w:rsidRDefault="0019639A" w:rsidP="0083163E">
            <w:pPr>
              <w:pStyle w:val="ListParagraph"/>
              <w:numPr>
                <w:ilvl w:val="0"/>
                <w:numId w:val="2"/>
              </w:numPr>
              <w:ind w:left="311" w:hanging="283"/>
              <w:rPr>
                <w:rFonts w:ascii="Garamond" w:hAnsi="Garamond"/>
              </w:rPr>
            </w:pPr>
            <w:r w:rsidRPr="00422A38">
              <w:rPr>
                <w:rFonts w:ascii="Garamond" w:hAnsi="Garamond"/>
              </w:rPr>
              <w:t xml:space="preserve">Costs are </w:t>
            </w:r>
            <w:r w:rsidR="00AD5810" w:rsidRPr="00422A38">
              <w:rPr>
                <w:rFonts w:ascii="Garamond" w:hAnsi="Garamond"/>
              </w:rPr>
              <w:t>lower</w:t>
            </w:r>
            <w:r w:rsidRPr="00422A38">
              <w:rPr>
                <w:rFonts w:ascii="Garamond" w:hAnsi="Garamond"/>
              </w:rPr>
              <w:t xml:space="preserve"> than </w:t>
            </w:r>
            <w:r w:rsidR="00AD5810" w:rsidRPr="00422A38">
              <w:rPr>
                <w:rFonts w:ascii="Garamond" w:hAnsi="Garamond"/>
              </w:rPr>
              <w:t xml:space="preserve">the standard </w:t>
            </w:r>
            <w:r w:rsidRPr="00422A38">
              <w:rPr>
                <w:rFonts w:ascii="Garamond" w:hAnsi="Garamond"/>
              </w:rPr>
              <w:t xml:space="preserve">approach </w:t>
            </w:r>
            <w:r w:rsidR="00AD5810" w:rsidRPr="00422A38">
              <w:rPr>
                <w:rFonts w:ascii="Garamond" w:hAnsi="Garamond"/>
              </w:rPr>
              <w:t xml:space="preserve">as fewer ITNs are </w:t>
            </w:r>
            <w:proofErr w:type="gramStart"/>
            <w:r w:rsidR="000A0386" w:rsidRPr="00422A38">
              <w:rPr>
                <w:rFonts w:ascii="Garamond" w:hAnsi="Garamond"/>
              </w:rPr>
              <w:t>targeted</w:t>
            </w:r>
            <w:proofErr w:type="gramEnd"/>
            <w:r w:rsidR="000A0386" w:rsidRPr="00422A38">
              <w:rPr>
                <w:rFonts w:ascii="Garamond" w:hAnsi="Garamond"/>
              </w:rPr>
              <w:t xml:space="preserve"> and the</w:t>
            </w:r>
            <w:r w:rsidRPr="00422A38">
              <w:rPr>
                <w:rFonts w:ascii="Garamond" w:hAnsi="Garamond"/>
              </w:rPr>
              <w:t xml:space="preserve"> questionnaire</w:t>
            </w:r>
            <w:r w:rsidR="000A0386" w:rsidRPr="00422A38">
              <w:rPr>
                <w:rFonts w:ascii="Garamond" w:hAnsi="Garamond"/>
              </w:rPr>
              <w:t xml:space="preserve"> is shorter</w:t>
            </w:r>
            <w:r w:rsidRPr="00422A38">
              <w:rPr>
                <w:rFonts w:ascii="Garamond" w:hAnsi="Garamond"/>
              </w:rPr>
              <w:t>.</w:t>
            </w:r>
          </w:p>
        </w:tc>
      </w:tr>
    </w:tbl>
    <w:p w14:paraId="654FE98D" w14:textId="487A4506" w:rsidR="00494907" w:rsidRDefault="00494907" w:rsidP="00D26AD0"/>
    <w:sectPr w:rsidR="00494907" w:rsidSect="00D26AD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34B12"/>
    <w:multiLevelType w:val="hybridMultilevel"/>
    <w:tmpl w:val="7EDE8B2E"/>
    <w:lvl w:ilvl="0" w:tplc="CA686E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9645E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A22BA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A501C6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9C86E6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C7E7B5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D029D7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BE0677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0680DD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A67F3B"/>
    <w:multiLevelType w:val="hybridMultilevel"/>
    <w:tmpl w:val="7C541D58"/>
    <w:lvl w:ilvl="0" w:tplc="422607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3AC"/>
    <w:rsid w:val="000A0386"/>
    <w:rsid w:val="000B7673"/>
    <w:rsid w:val="000C5198"/>
    <w:rsid w:val="000D63F2"/>
    <w:rsid w:val="001310C9"/>
    <w:rsid w:val="00134DBB"/>
    <w:rsid w:val="0014333E"/>
    <w:rsid w:val="00173174"/>
    <w:rsid w:val="0019639A"/>
    <w:rsid w:val="001A0D25"/>
    <w:rsid w:val="001E0B62"/>
    <w:rsid w:val="00210CD5"/>
    <w:rsid w:val="00251FFC"/>
    <w:rsid w:val="002E0696"/>
    <w:rsid w:val="003D31F4"/>
    <w:rsid w:val="00422A38"/>
    <w:rsid w:val="00456783"/>
    <w:rsid w:val="00494907"/>
    <w:rsid w:val="005040C4"/>
    <w:rsid w:val="005150E2"/>
    <w:rsid w:val="005A542B"/>
    <w:rsid w:val="0060080E"/>
    <w:rsid w:val="006475E7"/>
    <w:rsid w:val="006641AC"/>
    <w:rsid w:val="006E715A"/>
    <w:rsid w:val="00721E16"/>
    <w:rsid w:val="007A34E1"/>
    <w:rsid w:val="007B54C8"/>
    <w:rsid w:val="0083163E"/>
    <w:rsid w:val="0084103A"/>
    <w:rsid w:val="00864F28"/>
    <w:rsid w:val="008F6BB4"/>
    <w:rsid w:val="009176A3"/>
    <w:rsid w:val="00925428"/>
    <w:rsid w:val="00933AD9"/>
    <w:rsid w:val="00957A78"/>
    <w:rsid w:val="00A42636"/>
    <w:rsid w:val="00A543AC"/>
    <w:rsid w:val="00AB58E7"/>
    <w:rsid w:val="00AC2629"/>
    <w:rsid w:val="00AC35C8"/>
    <w:rsid w:val="00AC5D64"/>
    <w:rsid w:val="00AD5810"/>
    <w:rsid w:val="00AD6E87"/>
    <w:rsid w:val="00AF63BA"/>
    <w:rsid w:val="00BD4F66"/>
    <w:rsid w:val="00C12143"/>
    <w:rsid w:val="00C221D3"/>
    <w:rsid w:val="00C2472A"/>
    <w:rsid w:val="00C24A03"/>
    <w:rsid w:val="00C52AE8"/>
    <w:rsid w:val="00C92066"/>
    <w:rsid w:val="00CB3644"/>
    <w:rsid w:val="00D021B3"/>
    <w:rsid w:val="00D24D01"/>
    <w:rsid w:val="00D26AD0"/>
    <w:rsid w:val="00D44E97"/>
    <w:rsid w:val="00D45429"/>
    <w:rsid w:val="00DC077C"/>
    <w:rsid w:val="00DD153B"/>
    <w:rsid w:val="00DD621D"/>
    <w:rsid w:val="00E07297"/>
    <w:rsid w:val="00E33C57"/>
    <w:rsid w:val="00E71217"/>
    <w:rsid w:val="00E73368"/>
    <w:rsid w:val="00E80F13"/>
    <w:rsid w:val="00E8513E"/>
    <w:rsid w:val="00EF5C42"/>
    <w:rsid w:val="00F26BF6"/>
    <w:rsid w:val="00F4035E"/>
    <w:rsid w:val="00F95857"/>
    <w:rsid w:val="00FD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0ECCE"/>
  <w15:chartTrackingRefBased/>
  <w15:docId w15:val="{B3775ED7-4C67-459E-A96A-E6932E83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CD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76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76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76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6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851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6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5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2CA9FA2906D49A87928E07A90BDE1" ma:contentTypeVersion="18" ma:contentTypeDescription="Create a new document." ma:contentTypeScope="" ma:versionID="34e0fcf9c08bd2103e40e091284746ec">
  <xsd:schema xmlns:xsd="http://www.w3.org/2001/XMLSchema" xmlns:xs="http://www.w3.org/2001/XMLSchema" xmlns:p="http://schemas.microsoft.com/office/2006/metadata/properties" xmlns:ns2="0bd7d161-68aa-4378-85c6-89c84e437c65" xmlns:ns3="6b9857c5-041e-4fc1-9d7d-8b03587acb27" targetNamespace="http://schemas.microsoft.com/office/2006/metadata/properties" ma:root="true" ma:fieldsID="a9a59404a9e22f1faf4de802dff1539f" ns2:_="" ns3:_="">
    <xsd:import namespace="0bd7d161-68aa-4378-85c6-89c84e437c65"/>
    <xsd:import namespace="6b9857c5-041e-4fc1-9d7d-8b03587ac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Type_x0020_l" minOccurs="0"/>
                <xsd:element ref="ns2:Status" minOccurs="0"/>
                <xsd:element ref="ns2:v9p6" minOccurs="0"/>
                <xsd:element ref="ns2:ddqa" minOccurs="0"/>
                <xsd:element ref="ns2:r7ph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7d161-68aa-4378-85c6-89c84e437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ype_x0020_l" ma:index="20" nillable="true" ma:displayName="Type" ma:description="Budget&#10;Consultant&#10;IRB&#10;Labor&#10;NXP/Equipment&#10;Subcontract&#10;Travel&#10;Waiver - Allowances&#10;Waiver - CDR/FSN&#10;Waiver - Increase" ma:internalName="Type_x0020_l">
      <xsd:simpleType>
        <xsd:restriction base="dms:Note">
          <xsd:maxLength value="255"/>
        </xsd:restriction>
      </xsd:simpleType>
    </xsd:element>
    <xsd:element name="Status" ma:index="21" nillable="true" ma:displayName="Status" ma:format="Dropdown" ma:internalName="Status">
      <xsd:simpleType>
        <xsd:restriction base="dms:Choice">
          <xsd:enumeration value="Preparing"/>
          <xsd:enumeration value="Pending"/>
          <xsd:enumeration value="Approved"/>
          <xsd:enumeration value="Denied"/>
          <xsd:enumeration value="Cancelled"/>
        </xsd:restriction>
      </xsd:simpleType>
    </xsd:element>
    <xsd:element name="v9p6" ma:index="22" nillable="true" ma:displayName="Date and Time" ma:internalName="v9p6">
      <xsd:simpleType>
        <xsd:restriction base="dms:DateTime"/>
      </xsd:simpleType>
    </xsd:element>
    <xsd:element name="ddqa" ma:index="23" nillable="true" ma:displayName="Request" ma:internalName="ddqa">
      <xsd:simpleType>
        <xsd:restriction base="dms:Text"/>
      </xsd:simpleType>
    </xsd:element>
    <xsd:element name="r7ph" ma:index="24" nillable="true" ma:displayName="Employee or Consultant Name" ma:internalName="r7ph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857c5-041e-4fc1-9d7d-8b03587acb2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9p6 xmlns="0bd7d161-68aa-4378-85c6-89c84e437c65" xsi:nil="true"/>
    <Status xmlns="0bd7d161-68aa-4378-85c6-89c84e437c65" xsi:nil="true"/>
    <Type_x0020_l xmlns="0bd7d161-68aa-4378-85c6-89c84e437c65" xsi:nil="true"/>
    <r7ph xmlns="0bd7d161-68aa-4378-85c6-89c84e437c65" xsi:nil="true"/>
    <ddqa xmlns="0bd7d161-68aa-4378-85c6-89c84e437c65" xsi:nil="true"/>
  </documentManagement>
</p:properties>
</file>

<file path=customXml/itemProps1.xml><?xml version="1.0" encoding="utf-8"?>
<ds:datastoreItem xmlns:ds="http://schemas.openxmlformats.org/officeDocument/2006/customXml" ds:itemID="{CFC8DE78-62D5-4F07-AE31-2705D132A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d7d161-68aa-4378-85c6-89c84e437c65"/>
    <ds:schemaRef ds:uri="6b9857c5-041e-4fc1-9d7d-8b03587ac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5A29F0-D4BB-4335-8999-ACB8FE5F08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5CECC-1645-4DB0-A334-639218FCF84D}">
  <ds:schemaRefs>
    <ds:schemaRef ds:uri="http://schemas.microsoft.com/office/2006/metadata/properties"/>
    <ds:schemaRef ds:uri="http://schemas.microsoft.com/office/infopath/2007/PartnerControls"/>
    <ds:schemaRef ds:uri="0bd7d161-68aa-4378-85c6-89c84e437c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Poyer</dc:creator>
  <cp:keywords/>
  <dc:description/>
  <cp:lastModifiedBy>Gerberg, Lilia A. (GH/HIDN/ID)</cp:lastModifiedBy>
  <cp:revision>2</cp:revision>
  <dcterms:created xsi:type="dcterms:W3CDTF">2022-04-06T20:27:00Z</dcterms:created>
  <dcterms:modified xsi:type="dcterms:W3CDTF">2022-04-06T20:27:00Z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0x0101008542CA9FA2906D49A87928E07A90BDE1</vt:lpwstr>
  </property>
</Properties>
</file>