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5E2D" w14:textId="77777777" w:rsidR="00C925E5" w:rsidRDefault="00C925E5" w:rsidP="00C925E5">
      <w:pPr>
        <w:pStyle w:val="Title"/>
        <w:spacing w:before="0" w:beforeAutospacing="0" w:after="0" w:line="360" w:lineRule="auto"/>
        <w:jc w:val="center"/>
      </w:pPr>
      <w:bookmarkStart w:id="0" w:name="_Hlk107148533"/>
      <w:r>
        <w:rPr>
          <w:noProof/>
        </w:rPr>
        <w:drawing>
          <wp:anchor distT="0" distB="0" distL="114300" distR="114300" simplePos="0" relativeHeight="251659264" behindDoc="0" locked="0" layoutInCell="1" allowOverlap="1" wp14:anchorId="4D2A2452" wp14:editId="64C02E43">
            <wp:simplePos x="0" y="0"/>
            <wp:positionH relativeFrom="margin">
              <wp:posOffset>2017395</wp:posOffset>
            </wp:positionH>
            <wp:positionV relativeFrom="margin">
              <wp:posOffset>-67945</wp:posOffset>
            </wp:positionV>
            <wp:extent cx="1912620" cy="1614170"/>
            <wp:effectExtent l="0" t="0" r="0" b="5080"/>
            <wp:wrapSquare wrapText="bothSides"/>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2620" cy="161417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val="0"/>
          <w:bCs/>
          <w:sz w:val="32"/>
          <w:szCs w:val="32"/>
        </w:rPr>
        <w:softHyphen/>
      </w:r>
    </w:p>
    <w:p w14:paraId="1AA68E16" w14:textId="77777777" w:rsidR="00C925E5" w:rsidRPr="007B440A" w:rsidRDefault="00C925E5" w:rsidP="00C925E5">
      <w:pPr>
        <w:pStyle w:val="Title"/>
        <w:spacing w:before="0" w:beforeAutospacing="0" w:after="0" w:line="360" w:lineRule="auto"/>
        <w:jc w:val="center"/>
        <w:rPr>
          <w:rFonts w:asciiTheme="minorHAnsi" w:hAnsiTheme="minorHAnsi" w:cstheme="minorHAnsi"/>
          <w:b w:val="0"/>
          <w:bCs/>
          <w:sz w:val="32"/>
          <w:szCs w:val="32"/>
        </w:rPr>
      </w:pPr>
      <w:bookmarkStart w:id="1" w:name="_Toc102124026"/>
    </w:p>
    <w:p w14:paraId="02A59C24" w14:textId="77777777" w:rsidR="00C925E5" w:rsidRDefault="00C925E5" w:rsidP="00C925E5">
      <w:pPr>
        <w:pStyle w:val="Title"/>
        <w:spacing w:before="0" w:beforeAutospacing="0" w:after="0" w:line="360" w:lineRule="auto"/>
      </w:pPr>
    </w:p>
    <w:p w14:paraId="2663C2C2" w14:textId="77777777" w:rsidR="00C925E5" w:rsidRDefault="00C925E5" w:rsidP="00C925E5">
      <w:pPr>
        <w:pStyle w:val="Title"/>
        <w:spacing w:before="0" w:beforeAutospacing="0" w:after="0" w:line="360" w:lineRule="auto"/>
      </w:pPr>
    </w:p>
    <w:p w14:paraId="5C33505D" w14:textId="77777777" w:rsidR="00C925E5" w:rsidRPr="008257C8" w:rsidRDefault="00C925E5" w:rsidP="00C925E5">
      <w:pPr>
        <w:pStyle w:val="Title"/>
        <w:spacing w:before="0" w:beforeAutospacing="0" w:after="0" w:line="360" w:lineRule="auto"/>
        <w:rPr>
          <w:color w:val="44546A" w:themeColor="text2"/>
        </w:rPr>
      </w:pPr>
      <w:r>
        <w:rPr>
          <w:noProof/>
        </w:rPr>
        <mc:AlternateContent>
          <mc:Choice Requires="wps">
            <w:drawing>
              <wp:anchor distT="0" distB="0" distL="114300" distR="114300" simplePos="0" relativeHeight="251660288" behindDoc="1" locked="0" layoutInCell="1" allowOverlap="1" wp14:anchorId="3BBB9D54" wp14:editId="278F62F4">
                <wp:simplePos x="0" y="0"/>
                <wp:positionH relativeFrom="page">
                  <wp:align>left</wp:align>
                </wp:positionH>
                <wp:positionV relativeFrom="paragraph">
                  <wp:posOffset>226695</wp:posOffset>
                </wp:positionV>
                <wp:extent cx="7776210" cy="5153025"/>
                <wp:effectExtent l="0" t="0" r="0" b="9525"/>
                <wp:wrapNone/>
                <wp:docPr id="17" name="Rectangle 17"/>
                <wp:cNvGraphicFramePr/>
                <a:graphic xmlns:a="http://schemas.openxmlformats.org/drawingml/2006/main">
                  <a:graphicData uri="http://schemas.microsoft.com/office/word/2010/wordprocessingShape">
                    <wps:wsp>
                      <wps:cNvSpPr/>
                      <wps:spPr>
                        <a:xfrm>
                          <a:off x="0" y="0"/>
                          <a:ext cx="7776210" cy="5153025"/>
                        </a:xfrm>
                        <a:prstGeom prst="rect">
                          <a:avLst/>
                        </a:prstGeom>
                        <a:solidFill>
                          <a:srgbClr val="143C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FB5FD0" id="Rectangle 17" o:spid="_x0000_s1026" style="position:absolute;margin-left:0;margin-top:17.85pt;width:612.3pt;height:405.75pt;z-index:-25165619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" fillcolor="#143c5d" stroked="f" strokeweight="1pt">
                <w10:wrap anchorx="page"/>
              </v:rect>
            </w:pict>
          </mc:Fallback>
        </mc:AlternateContent>
      </w:r>
    </w:p>
    <w:p w14:paraId="379EDFFE" w14:textId="71990D2B" w:rsidR="00C925E5" w:rsidRPr="008257C8" w:rsidRDefault="00C925E5" w:rsidP="00C925E5">
      <w:pPr>
        <w:pStyle w:val="Title"/>
        <w:spacing w:before="0" w:beforeAutospacing="0" w:after="0" w:line="360" w:lineRule="auto"/>
        <w:rPr>
          <w:color w:val="FFFFFF" w:themeColor="background1"/>
        </w:rPr>
      </w:pPr>
      <w:r>
        <w:rPr>
          <w:color w:val="FFFFFF" w:themeColor="background1"/>
        </w:rPr>
        <w:t xml:space="preserve">SOP: Methods for monitoring the durability of dual-AI insecticide-treated nets containing a pyrethroid plus </w:t>
      </w:r>
      <w:r w:rsidR="00DE6BA3">
        <w:rPr>
          <w:color w:val="FFFFFF" w:themeColor="background1"/>
        </w:rPr>
        <w:t>chlorfenapyr</w:t>
      </w:r>
      <w:r w:rsidR="00546324">
        <w:rPr>
          <w:color w:val="FFFFFF" w:themeColor="background1"/>
        </w:rPr>
        <w:t xml:space="preserve"> (CFP)</w:t>
      </w:r>
    </w:p>
    <w:p w14:paraId="6503F5CD" w14:textId="4A17CE6C" w:rsidR="00C925E5" w:rsidRPr="008257C8" w:rsidRDefault="00993C09" w:rsidP="00C925E5">
      <w:pPr>
        <w:pStyle w:val="Title"/>
        <w:spacing w:before="0" w:beforeAutospacing="0" w:after="0" w:line="360" w:lineRule="auto"/>
        <w:rPr>
          <w:rFonts w:ascii="Noto Sans Light" w:hAnsi="Noto Sans Light" w:cs="Noto Sans Light"/>
          <w:b w:val="0"/>
          <w:bCs/>
          <w:color w:val="FFFFFF" w:themeColor="background1"/>
          <w:sz w:val="40"/>
          <w:szCs w:val="40"/>
        </w:rPr>
      </w:pPr>
      <w:r>
        <w:rPr>
          <w:rFonts w:ascii="Noto Sans Light" w:hAnsi="Noto Sans Light" w:cs="Noto Sans Light"/>
          <w:b w:val="0"/>
          <w:bCs/>
          <w:color w:val="FFFFFF" w:themeColor="background1"/>
          <w:sz w:val="40"/>
          <w:szCs w:val="40"/>
        </w:rPr>
        <w:t>September</w:t>
      </w:r>
      <w:r w:rsidR="00C925E5">
        <w:rPr>
          <w:rFonts w:ascii="Noto Sans Light" w:hAnsi="Noto Sans Light" w:cs="Noto Sans Light"/>
          <w:b w:val="0"/>
          <w:bCs/>
          <w:color w:val="FFFFFF" w:themeColor="background1"/>
          <w:sz w:val="40"/>
          <w:szCs w:val="40"/>
        </w:rPr>
        <w:t xml:space="preserve"> 2022</w:t>
      </w:r>
    </w:p>
    <w:p w14:paraId="63F9B434" w14:textId="77777777" w:rsidR="00C925E5" w:rsidRPr="000130AB" w:rsidRDefault="00C925E5" w:rsidP="00C925E5">
      <w:pPr>
        <w:pStyle w:val="Heading1"/>
        <w:spacing w:before="0" w:after="0" w:line="360" w:lineRule="auto"/>
      </w:pPr>
      <w:r>
        <w:br w:type="page"/>
      </w:r>
      <w:bookmarkEnd w:id="1"/>
    </w:p>
    <w:tbl>
      <w:tblPr>
        <w:tblStyle w:val="TableGrid"/>
        <w:tblW w:w="5000" w:type="pct"/>
        <w:jc w:val="center"/>
        <w:tblLook w:val="04A0" w:firstRow="1" w:lastRow="0" w:firstColumn="1" w:lastColumn="0" w:noHBand="0" w:noVBand="1"/>
      </w:tblPr>
      <w:tblGrid>
        <w:gridCol w:w="2234"/>
        <w:gridCol w:w="6782"/>
      </w:tblGrid>
      <w:tr w:rsidR="00C925E5" w14:paraId="17F1252E" w14:textId="77777777" w:rsidTr="005E13A2">
        <w:trPr>
          <w:jc w:val="center"/>
        </w:trPr>
        <w:tc>
          <w:tcPr>
            <w:tcW w:w="1239" w:type="pct"/>
            <w:vAlign w:val="center"/>
          </w:tcPr>
          <w:p w14:paraId="7D831CF5" w14:textId="77777777" w:rsidR="00C925E5" w:rsidRDefault="00C925E5" w:rsidP="005E13A2">
            <w:pPr>
              <w:spacing w:beforeAutospacing="0"/>
              <w:jc w:val="center"/>
              <w:rPr>
                <w:b/>
                <w:bCs/>
              </w:rPr>
            </w:pPr>
            <w:r>
              <w:rPr>
                <w:b/>
                <w:bCs/>
              </w:rPr>
              <w:lastRenderedPageBreak/>
              <w:t>Title</w:t>
            </w:r>
          </w:p>
        </w:tc>
        <w:tc>
          <w:tcPr>
            <w:tcW w:w="3761" w:type="pct"/>
            <w:vAlign w:val="center"/>
          </w:tcPr>
          <w:p w14:paraId="29FADCB0" w14:textId="445EF6D7" w:rsidR="00C925E5" w:rsidRPr="00C91913" w:rsidRDefault="00C925E5" w:rsidP="005E13A2">
            <w:pPr>
              <w:spacing w:beforeAutospacing="0"/>
              <w:rPr>
                <w:sz w:val="20"/>
                <w:szCs w:val="20"/>
              </w:rPr>
            </w:pPr>
            <w:r w:rsidRPr="002C62F0">
              <w:rPr>
                <w:sz w:val="20"/>
                <w:szCs w:val="20"/>
              </w:rPr>
              <w:t xml:space="preserve">Methods for monitoring the durability of a dual-AI insecticide-treated net containing a pyrethroid plus </w:t>
            </w:r>
            <w:r w:rsidR="00F40D46">
              <w:rPr>
                <w:sz w:val="20"/>
                <w:szCs w:val="20"/>
              </w:rPr>
              <w:t>chlorfenapyr</w:t>
            </w:r>
          </w:p>
        </w:tc>
      </w:tr>
      <w:tr w:rsidR="00C925E5" w14:paraId="1008EEDE" w14:textId="77777777" w:rsidTr="005E13A2">
        <w:trPr>
          <w:jc w:val="center"/>
        </w:trPr>
        <w:tc>
          <w:tcPr>
            <w:tcW w:w="1239" w:type="pct"/>
            <w:vAlign w:val="center"/>
          </w:tcPr>
          <w:p w14:paraId="192C1601" w14:textId="77777777" w:rsidR="00C925E5" w:rsidRDefault="00C925E5" w:rsidP="005E13A2">
            <w:pPr>
              <w:spacing w:beforeAutospacing="0"/>
              <w:jc w:val="center"/>
              <w:rPr>
                <w:b/>
                <w:bCs/>
              </w:rPr>
            </w:pPr>
            <w:r w:rsidRPr="490B9F65">
              <w:rPr>
                <w:b/>
                <w:bCs/>
              </w:rPr>
              <w:t>Document number</w:t>
            </w:r>
          </w:p>
        </w:tc>
        <w:tc>
          <w:tcPr>
            <w:tcW w:w="3761" w:type="pct"/>
            <w:vAlign w:val="center"/>
          </w:tcPr>
          <w:p w14:paraId="4B54D1FF" w14:textId="77D0867A" w:rsidR="00C925E5" w:rsidRPr="00C91913" w:rsidRDefault="00C925E5" w:rsidP="005E13A2">
            <w:pPr>
              <w:spacing w:beforeAutospacing="0"/>
              <w:rPr>
                <w:sz w:val="20"/>
                <w:szCs w:val="20"/>
              </w:rPr>
            </w:pPr>
            <w:r w:rsidRPr="00C91913">
              <w:rPr>
                <w:sz w:val="20"/>
                <w:szCs w:val="20"/>
              </w:rPr>
              <w:t>I2I-SOP-</w:t>
            </w:r>
            <w:r>
              <w:rPr>
                <w:sz w:val="20"/>
                <w:szCs w:val="20"/>
              </w:rPr>
              <w:t>00</w:t>
            </w:r>
            <w:r w:rsidR="00F40D46">
              <w:rPr>
                <w:sz w:val="20"/>
                <w:szCs w:val="20"/>
              </w:rPr>
              <w:t>3</w:t>
            </w:r>
          </w:p>
        </w:tc>
      </w:tr>
      <w:tr w:rsidR="00C925E5" w14:paraId="4CCE6771" w14:textId="77777777" w:rsidTr="005E13A2">
        <w:trPr>
          <w:jc w:val="center"/>
        </w:trPr>
        <w:tc>
          <w:tcPr>
            <w:tcW w:w="1239" w:type="pct"/>
            <w:vAlign w:val="center"/>
          </w:tcPr>
          <w:p w14:paraId="41C07C36" w14:textId="77777777" w:rsidR="00C925E5" w:rsidRDefault="00C925E5" w:rsidP="005E13A2">
            <w:pPr>
              <w:spacing w:beforeAutospacing="0"/>
              <w:jc w:val="center"/>
              <w:rPr>
                <w:b/>
                <w:bCs/>
              </w:rPr>
            </w:pPr>
            <w:r w:rsidRPr="5CD9D56E">
              <w:rPr>
                <w:b/>
                <w:bCs/>
              </w:rPr>
              <w:t>Version number</w:t>
            </w:r>
          </w:p>
        </w:tc>
        <w:tc>
          <w:tcPr>
            <w:tcW w:w="3761" w:type="pct"/>
            <w:vAlign w:val="center"/>
          </w:tcPr>
          <w:p w14:paraId="1069FAFD" w14:textId="77777777" w:rsidR="00C925E5" w:rsidRPr="00C91913" w:rsidRDefault="00C925E5" w:rsidP="005E13A2">
            <w:pPr>
              <w:spacing w:beforeAutospacing="0"/>
              <w:rPr>
                <w:sz w:val="20"/>
                <w:szCs w:val="20"/>
              </w:rPr>
            </w:pPr>
            <w:r>
              <w:rPr>
                <w:sz w:val="20"/>
                <w:szCs w:val="20"/>
              </w:rPr>
              <w:t>1</w:t>
            </w:r>
          </w:p>
        </w:tc>
      </w:tr>
      <w:tr w:rsidR="00C925E5" w14:paraId="323A8B0B" w14:textId="77777777" w:rsidTr="005E13A2">
        <w:trPr>
          <w:jc w:val="center"/>
        </w:trPr>
        <w:tc>
          <w:tcPr>
            <w:tcW w:w="1239" w:type="pct"/>
            <w:vAlign w:val="center"/>
          </w:tcPr>
          <w:p w14:paraId="25634859" w14:textId="77777777" w:rsidR="00C925E5" w:rsidRDefault="00C925E5" w:rsidP="005E13A2">
            <w:pPr>
              <w:spacing w:beforeAutospacing="0"/>
              <w:jc w:val="center"/>
              <w:rPr>
                <w:b/>
                <w:bCs/>
              </w:rPr>
            </w:pPr>
            <w:r w:rsidRPr="5CD9D56E">
              <w:rPr>
                <w:b/>
                <w:bCs/>
              </w:rPr>
              <w:t>Date first published</w:t>
            </w:r>
          </w:p>
        </w:tc>
        <w:tc>
          <w:tcPr>
            <w:tcW w:w="3761" w:type="pct"/>
            <w:vAlign w:val="center"/>
          </w:tcPr>
          <w:p w14:paraId="6CDB4031" w14:textId="77777777" w:rsidR="00C925E5" w:rsidRPr="00C91913" w:rsidRDefault="00C925E5" w:rsidP="005E13A2">
            <w:pPr>
              <w:spacing w:beforeAutospacing="0"/>
              <w:rPr>
                <w:sz w:val="20"/>
                <w:szCs w:val="20"/>
              </w:rPr>
            </w:pPr>
            <w:r>
              <w:rPr>
                <w:sz w:val="20"/>
                <w:szCs w:val="20"/>
              </w:rPr>
              <w:t>21</w:t>
            </w:r>
            <w:r w:rsidRPr="00C91913">
              <w:rPr>
                <w:sz w:val="20"/>
                <w:szCs w:val="20"/>
              </w:rPr>
              <w:t>/</w:t>
            </w:r>
            <w:r>
              <w:rPr>
                <w:sz w:val="20"/>
                <w:szCs w:val="20"/>
              </w:rPr>
              <w:t>12</w:t>
            </w:r>
            <w:r w:rsidRPr="00C91913">
              <w:rPr>
                <w:sz w:val="20"/>
                <w:szCs w:val="20"/>
              </w:rPr>
              <w:t>/202</w:t>
            </w:r>
            <w:r>
              <w:rPr>
                <w:sz w:val="20"/>
                <w:szCs w:val="20"/>
              </w:rPr>
              <w:t>1</w:t>
            </w:r>
          </w:p>
        </w:tc>
      </w:tr>
      <w:tr w:rsidR="00C925E5" w14:paraId="0EE09C53" w14:textId="77777777" w:rsidTr="005E13A2">
        <w:trPr>
          <w:jc w:val="center"/>
        </w:trPr>
        <w:tc>
          <w:tcPr>
            <w:tcW w:w="1239" w:type="pct"/>
            <w:vAlign w:val="center"/>
          </w:tcPr>
          <w:p w14:paraId="0AF4E690" w14:textId="77777777" w:rsidR="00C925E5" w:rsidRDefault="00C925E5" w:rsidP="005E13A2">
            <w:pPr>
              <w:spacing w:beforeAutospacing="0"/>
              <w:jc w:val="center"/>
              <w:rPr>
                <w:b/>
                <w:bCs/>
              </w:rPr>
            </w:pPr>
            <w:r w:rsidRPr="5CD9D56E">
              <w:rPr>
                <w:b/>
                <w:bCs/>
              </w:rPr>
              <w:t>Date last revised</w:t>
            </w:r>
          </w:p>
        </w:tc>
        <w:tc>
          <w:tcPr>
            <w:tcW w:w="3761" w:type="pct"/>
            <w:vAlign w:val="center"/>
          </w:tcPr>
          <w:p w14:paraId="703DD350" w14:textId="662652A1" w:rsidR="00C925E5" w:rsidRPr="00C91913" w:rsidRDefault="00993C09" w:rsidP="005E13A2">
            <w:pPr>
              <w:spacing w:beforeAutospacing="0"/>
              <w:rPr>
                <w:sz w:val="20"/>
                <w:szCs w:val="20"/>
              </w:rPr>
            </w:pPr>
            <w:r>
              <w:rPr>
                <w:sz w:val="20"/>
                <w:szCs w:val="20"/>
              </w:rPr>
              <w:t>13/09/2022</w:t>
            </w:r>
          </w:p>
        </w:tc>
      </w:tr>
    </w:tbl>
    <w:p w14:paraId="59D9E428" w14:textId="77777777" w:rsidR="00C925E5" w:rsidRDefault="00C925E5" w:rsidP="00C925E5">
      <w:pPr>
        <w:spacing w:before="0" w:beforeAutospacing="0"/>
        <w:rPr>
          <w:b/>
          <w:bCs/>
        </w:rPr>
      </w:pPr>
    </w:p>
    <w:p w14:paraId="1712C1BA" w14:textId="77777777" w:rsidR="00C925E5" w:rsidRDefault="00C925E5" w:rsidP="00C925E5">
      <w:pPr>
        <w:spacing w:before="0" w:beforeAutospacing="0"/>
        <w:rPr>
          <w:b/>
          <w:bCs/>
        </w:rPr>
      </w:pPr>
      <w:r w:rsidRPr="5CD9D56E">
        <w:rPr>
          <w:b/>
          <w:bCs/>
        </w:rPr>
        <w:t>Prepared by</w:t>
      </w:r>
    </w:p>
    <w:tbl>
      <w:tblPr>
        <w:tblStyle w:val="TableGrid"/>
        <w:tblW w:w="5000" w:type="pct"/>
        <w:tblLook w:val="04A0" w:firstRow="1" w:lastRow="0" w:firstColumn="1" w:lastColumn="0" w:noHBand="0" w:noVBand="1"/>
      </w:tblPr>
      <w:tblGrid>
        <w:gridCol w:w="3390"/>
        <w:gridCol w:w="2395"/>
        <w:gridCol w:w="3231"/>
      </w:tblGrid>
      <w:tr w:rsidR="00C925E5" w14:paraId="7E5D057E" w14:textId="77777777" w:rsidTr="005E13A2">
        <w:tc>
          <w:tcPr>
            <w:tcW w:w="1880" w:type="pct"/>
            <w:vAlign w:val="center"/>
          </w:tcPr>
          <w:p w14:paraId="459EC553" w14:textId="77777777" w:rsidR="00C925E5" w:rsidRDefault="00C925E5" w:rsidP="005E13A2">
            <w:pPr>
              <w:spacing w:beforeAutospacing="0"/>
              <w:jc w:val="center"/>
              <w:rPr>
                <w:b/>
                <w:bCs/>
              </w:rPr>
            </w:pPr>
            <w:r>
              <w:rPr>
                <w:b/>
                <w:bCs/>
              </w:rPr>
              <w:t>Name</w:t>
            </w:r>
          </w:p>
        </w:tc>
        <w:tc>
          <w:tcPr>
            <w:tcW w:w="1328" w:type="pct"/>
            <w:vAlign w:val="center"/>
          </w:tcPr>
          <w:p w14:paraId="7704E94D" w14:textId="77777777" w:rsidR="00C925E5" w:rsidRDefault="00C925E5" w:rsidP="005E13A2">
            <w:pPr>
              <w:spacing w:beforeAutospacing="0"/>
              <w:jc w:val="center"/>
              <w:rPr>
                <w:b/>
                <w:bCs/>
              </w:rPr>
            </w:pPr>
            <w:r>
              <w:rPr>
                <w:b/>
                <w:bCs/>
              </w:rPr>
              <w:t>Role</w:t>
            </w:r>
          </w:p>
        </w:tc>
        <w:tc>
          <w:tcPr>
            <w:tcW w:w="1792" w:type="pct"/>
            <w:vAlign w:val="center"/>
          </w:tcPr>
          <w:p w14:paraId="12771B3F" w14:textId="77777777" w:rsidR="00C925E5" w:rsidRDefault="00C925E5" w:rsidP="005E13A2">
            <w:pPr>
              <w:spacing w:beforeAutospacing="0"/>
              <w:jc w:val="center"/>
              <w:rPr>
                <w:b/>
                <w:bCs/>
              </w:rPr>
            </w:pPr>
            <w:r>
              <w:rPr>
                <w:b/>
                <w:bCs/>
              </w:rPr>
              <w:t>Institution</w:t>
            </w:r>
          </w:p>
        </w:tc>
      </w:tr>
      <w:tr w:rsidR="00C925E5" w14:paraId="464CFFEC" w14:textId="77777777" w:rsidTr="005E13A2">
        <w:tc>
          <w:tcPr>
            <w:tcW w:w="1880" w:type="pct"/>
            <w:vAlign w:val="center"/>
          </w:tcPr>
          <w:p w14:paraId="51A8A929" w14:textId="77777777" w:rsidR="00C925E5" w:rsidRPr="005C70C3" w:rsidRDefault="00C925E5" w:rsidP="005E13A2">
            <w:pPr>
              <w:spacing w:beforeAutospacing="0"/>
              <w:jc w:val="center"/>
              <w:rPr>
                <w:sz w:val="20"/>
                <w:szCs w:val="20"/>
              </w:rPr>
            </w:pPr>
            <w:r>
              <w:rPr>
                <w:sz w:val="20"/>
                <w:szCs w:val="20"/>
              </w:rPr>
              <w:t>Rosemary S Lees</w:t>
            </w:r>
          </w:p>
        </w:tc>
        <w:tc>
          <w:tcPr>
            <w:tcW w:w="1328" w:type="pct"/>
            <w:vAlign w:val="center"/>
          </w:tcPr>
          <w:p w14:paraId="4E6E636F" w14:textId="77777777" w:rsidR="00C925E5" w:rsidRPr="005C70C3" w:rsidRDefault="00C925E5" w:rsidP="005E13A2">
            <w:pPr>
              <w:spacing w:beforeAutospacing="0"/>
              <w:jc w:val="center"/>
              <w:rPr>
                <w:sz w:val="20"/>
                <w:szCs w:val="20"/>
              </w:rPr>
            </w:pPr>
            <w:r w:rsidRPr="005C70C3">
              <w:rPr>
                <w:sz w:val="20"/>
                <w:szCs w:val="20"/>
              </w:rPr>
              <w:t>Author</w:t>
            </w:r>
          </w:p>
        </w:tc>
        <w:tc>
          <w:tcPr>
            <w:tcW w:w="1792" w:type="pct"/>
            <w:vAlign w:val="center"/>
          </w:tcPr>
          <w:p w14:paraId="7BE9757C" w14:textId="77777777" w:rsidR="00C925E5" w:rsidRPr="005C70C3" w:rsidRDefault="00C925E5" w:rsidP="005E13A2">
            <w:pPr>
              <w:spacing w:beforeAutospacing="0"/>
              <w:jc w:val="center"/>
              <w:rPr>
                <w:sz w:val="20"/>
                <w:szCs w:val="20"/>
              </w:rPr>
            </w:pPr>
            <w:r>
              <w:rPr>
                <w:sz w:val="20"/>
                <w:szCs w:val="20"/>
              </w:rPr>
              <w:t>LSTM, I2I</w:t>
            </w:r>
          </w:p>
        </w:tc>
      </w:tr>
      <w:tr w:rsidR="00C925E5" w14:paraId="3D48D544" w14:textId="77777777" w:rsidTr="005E13A2">
        <w:tc>
          <w:tcPr>
            <w:tcW w:w="1880" w:type="pct"/>
            <w:vAlign w:val="center"/>
          </w:tcPr>
          <w:p w14:paraId="1302CD8A" w14:textId="77777777" w:rsidR="00C925E5" w:rsidRPr="005C70C3" w:rsidRDefault="00C925E5" w:rsidP="005E13A2">
            <w:pPr>
              <w:spacing w:beforeAutospacing="0"/>
              <w:jc w:val="center"/>
              <w:rPr>
                <w:sz w:val="20"/>
                <w:szCs w:val="20"/>
              </w:rPr>
            </w:pPr>
            <w:r>
              <w:rPr>
                <w:sz w:val="20"/>
                <w:szCs w:val="20"/>
              </w:rPr>
              <w:t>Angus Spiers</w:t>
            </w:r>
          </w:p>
        </w:tc>
        <w:tc>
          <w:tcPr>
            <w:tcW w:w="1328" w:type="pct"/>
            <w:vAlign w:val="center"/>
          </w:tcPr>
          <w:p w14:paraId="6D93E193" w14:textId="77777777" w:rsidR="00C925E5" w:rsidRPr="005C70C3" w:rsidRDefault="00C925E5" w:rsidP="005E13A2">
            <w:pPr>
              <w:spacing w:beforeAutospacing="0"/>
              <w:jc w:val="center"/>
              <w:rPr>
                <w:sz w:val="20"/>
                <w:szCs w:val="20"/>
              </w:rPr>
            </w:pPr>
            <w:r>
              <w:rPr>
                <w:sz w:val="20"/>
                <w:szCs w:val="20"/>
              </w:rPr>
              <w:t>Author</w:t>
            </w:r>
          </w:p>
        </w:tc>
        <w:tc>
          <w:tcPr>
            <w:tcW w:w="1792" w:type="pct"/>
            <w:vAlign w:val="center"/>
          </w:tcPr>
          <w:p w14:paraId="5D41B851" w14:textId="77777777" w:rsidR="00C925E5" w:rsidRPr="005C70C3" w:rsidRDefault="00C925E5" w:rsidP="005E13A2">
            <w:pPr>
              <w:spacing w:beforeAutospacing="0"/>
              <w:jc w:val="center"/>
              <w:rPr>
                <w:sz w:val="20"/>
                <w:szCs w:val="20"/>
              </w:rPr>
            </w:pPr>
            <w:r>
              <w:rPr>
                <w:sz w:val="20"/>
                <w:szCs w:val="20"/>
              </w:rPr>
              <w:t>I2I</w:t>
            </w:r>
          </w:p>
        </w:tc>
      </w:tr>
      <w:tr w:rsidR="00C925E5" w14:paraId="2118C737" w14:textId="77777777" w:rsidTr="005E13A2">
        <w:tc>
          <w:tcPr>
            <w:tcW w:w="1880" w:type="pct"/>
            <w:vAlign w:val="center"/>
          </w:tcPr>
          <w:p w14:paraId="2E2A6360" w14:textId="77777777" w:rsidR="00C925E5" w:rsidRPr="005C70C3" w:rsidRDefault="00C925E5" w:rsidP="005E13A2">
            <w:pPr>
              <w:spacing w:beforeAutospacing="0"/>
              <w:jc w:val="center"/>
              <w:rPr>
                <w:sz w:val="20"/>
                <w:szCs w:val="20"/>
              </w:rPr>
            </w:pPr>
            <w:r>
              <w:rPr>
                <w:sz w:val="20"/>
                <w:szCs w:val="20"/>
              </w:rPr>
              <w:t>Natalie Lissenden</w:t>
            </w:r>
          </w:p>
        </w:tc>
        <w:tc>
          <w:tcPr>
            <w:tcW w:w="1328" w:type="pct"/>
            <w:vAlign w:val="center"/>
          </w:tcPr>
          <w:p w14:paraId="2B333344" w14:textId="77777777" w:rsidR="00C925E5" w:rsidRPr="005C70C3" w:rsidRDefault="00C925E5" w:rsidP="005E13A2">
            <w:pPr>
              <w:spacing w:beforeAutospacing="0"/>
              <w:jc w:val="center"/>
              <w:rPr>
                <w:sz w:val="20"/>
                <w:szCs w:val="20"/>
              </w:rPr>
            </w:pPr>
            <w:r>
              <w:rPr>
                <w:sz w:val="20"/>
                <w:szCs w:val="20"/>
              </w:rPr>
              <w:t>Author</w:t>
            </w:r>
          </w:p>
        </w:tc>
        <w:tc>
          <w:tcPr>
            <w:tcW w:w="1792" w:type="pct"/>
            <w:vAlign w:val="center"/>
          </w:tcPr>
          <w:p w14:paraId="664285ED" w14:textId="77777777" w:rsidR="00C925E5" w:rsidRPr="005C70C3" w:rsidRDefault="00C925E5" w:rsidP="005E13A2">
            <w:pPr>
              <w:spacing w:beforeAutospacing="0"/>
              <w:jc w:val="center"/>
              <w:rPr>
                <w:sz w:val="20"/>
                <w:szCs w:val="20"/>
              </w:rPr>
            </w:pPr>
            <w:r>
              <w:rPr>
                <w:sz w:val="20"/>
                <w:szCs w:val="20"/>
              </w:rPr>
              <w:t>LSTM, I2I</w:t>
            </w:r>
          </w:p>
        </w:tc>
      </w:tr>
      <w:tr w:rsidR="00C925E5" w14:paraId="4D6E4430" w14:textId="77777777" w:rsidTr="005E13A2">
        <w:tc>
          <w:tcPr>
            <w:tcW w:w="1880" w:type="pct"/>
            <w:vAlign w:val="center"/>
          </w:tcPr>
          <w:p w14:paraId="4E9F54F5" w14:textId="77777777" w:rsidR="00C925E5" w:rsidRPr="005C70C3" w:rsidRDefault="00C925E5" w:rsidP="005E13A2">
            <w:pPr>
              <w:spacing w:beforeAutospacing="0"/>
              <w:jc w:val="center"/>
              <w:rPr>
                <w:sz w:val="20"/>
                <w:szCs w:val="20"/>
              </w:rPr>
            </w:pPr>
            <w:r>
              <w:rPr>
                <w:sz w:val="20"/>
                <w:szCs w:val="20"/>
              </w:rPr>
              <w:t>Katherine Gleave</w:t>
            </w:r>
          </w:p>
        </w:tc>
        <w:tc>
          <w:tcPr>
            <w:tcW w:w="1328" w:type="pct"/>
            <w:vAlign w:val="center"/>
          </w:tcPr>
          <w:p w14:paraId="518B1BE3" w14:textId="77777777" w:rsidR="00C925E5" w:rsidRPr="005C70C3" w:rsidRDefault="00C925E5" w:rsidP="005E13A2">
            <w:pPr>
              <w:spacing w:beforeAutospacing="0"/>
              <w:jc w:val="center"/>
              <w:rPr>
                <w:sz w:val="20"/>
                <w:szCs w:val="20"/>
              </w:rPr>
            </w:pPr>
            <w:r>
              <w:rPr>
                <w:sz w:val="20"/>
                <w:szCs w:val="20"/>
              </w:rPr>
              <w:t>Contributor</w:t>
            </w:r>
          </w:p>
        </w:tc>
        <w:tc>
          <w:tcPr>
            <w:tcW w:w="1792" w:type="pct"/>
            <w:vAlign w:val="center"/>
          </w:tcPr>
          <w:p w14:paraId="60B9A7FB" w14:textId="77777777" w:rsidR="00C925E5" w:rsidRPr="005C70C3" w:rsidRDefault="00C925E5" w:rsidP="005E13A2">
            <w:pPr>
              <w:spacing w:beforeAutospacing="0"/>
              <w:jc w:val="center"/>
              <w:rPr>
                <w:sz w:val="20"/>
                <w:szCs w:val="20"/>
              </w:rPr>
            </w:pPr>
            <w:r>
              <w:rPr>
                <w:sz w:val="20"/>
                <w:szCs w:val="20"/>
              </w:rPr>
              <w:t>LSTM, I2I</w:t>
            </w:r>
          </w:p>
        </w:tc>
      </w:tr>
    </w:tbl>
    <w:p w14:paraId="1A3AD6E2" w14:textId="77777777" w:rsidR="00C925E5" w:rsidRDefault="00C925E5" w:rsidP="00C925E5">
      <w:pPr>
        <w:spacing w:before="0" w:beforeAutospacing="0"/>
        <w:rPr>
          <w:b/>
          <w:bCs/>
        </w:rPr>
      </w:pPr>
    </w:p>
    <w:p w14:paraId="5E524FBA" w14:textId="77777777" w:rsidR="00C925E5" w:rsidRDefault="00C925E5" w:rsidP="00C925E5">
      <w:pPr>
        <w:spacing w:before="0" w:beforeAutospacing="0"/>
        <w:rPr>
          <w:b/>
          <w:bCs/>
        </w:rPr>
      </w:pPr>
      <w:r>
        <w:rPr>
          <w:b/>
          <w:bCs/>
        </w:rPr>
        <w:t>Timeline</w:t>
      </w:r>
    </w:p>
    <w:tbl>
      <w:tblPr>
        <w:tblStyle w:val="TableGrid"/>
        <w:tblW w:w="5000" w:type="pct"/>
        <w:tblLook w:val="04A0" w:firstRow="1" w:lastRow="0" w:firstColumn="1" w:lastColumn="0" w:noHBand="0" w:noVBand="1"/>
      </w:tblPr>
      <w:tblGrid>
        <w:gridCol w:w="2248"/>
        <w:gridCol w:w="2094"/>
        <w:gridCol w:w="2238"/>
        <w:gridCol w:w="2436"/>
      </w:tblGrid>
      <w:tr w:rsidR="00C925E5" w14:paraId="5D64D6D5" w14:textId="77777777" w:rsidTr="005E13A2">
        <w:tc>
          <w:tcPr>
            <w:tcW w:w="1247" w:type="pct"/>
            <w:vAlign w:val="center"/>
          </w:tcPr>
          <w:p w14:paraId="16C9722F" w14:textId="77777777" w:rsidR="00C925E5" w:rsidRPr="004142A8" w:rsidRDefault="00C925E5" w:rsidP="005E13A2">
            <w:pPr>
              <w:spacing w:beforeAutospacing="0"/>
              <w:jc w:val="center"/>
              <w:rPr>
                <w:b/>
                <w:bCs/>
              </w:rPr>
            </w:pPr>
            <w:r w:rsidRPr="004142A8">
              <w:rPr>
                <w:b/>
                <w:bCs/>
              </w:rPr>
              <w:t>Version</w:t>
            </w:r>
          </w:p>
        </w:tc>
        <w:tc>
          <w:tcPr>
            <w:tcW w:w="1161" w:type="pct"/>
            <w:vAlign w:val="center"/>
          </w:tcPr>
          <w:p w14:paraId="492E1FDC" w14:textId="77777777" w:rsidR="00C925E5" w:rsidRPr="004142A8" w:rsidRDefault="00C925E5" w:rsidP="005E13A2">
            <w:pPr>
              <w:spacing w:beforeAutospacing="0"/>
              <w:jc w:val="center"/>
              <w:rPr>
                <w:b/>
                <w:bCs/>
              </w:rPr>
            </w:pPr>
            <w:r w:rsidRPr="004142A8">
              <w:rPr>
                <w:b/>
                <w:bCs/>
              </w:rPr>
              <w:t>Date</w:t>
            </w:r>
          </w:p>
        </w:tc>
        <w:tc>
          <w:tcPr>
            <w:tcW w:w="1241" w:type="pct"/>
            <w:vAlign w:val="center"/>
          </w:tcPr>
          <w:p w14:paraId="098909E6" w14:textId="77777777" w:rsidR="00C925E5" w:rsidRPr="004142A8" w:rsidRDefault="00C925E5" w:rsidP="005E13A2">
            <w:pPr>
              <w:spacing w:beforeAutospacing="0"/>
              <w:jc w:val="center"/>
              <w:rPr>
                <w:b/>
                <w:bCs/>
              </w:rPr>
            </w:pPr>
            <w:r w:rsidRPr="004142A8">
              <w:rPr>
                <w:b/>
                <w:bCs/>
              </w:rPr>
              <w:t>Reviewed by</w:t>
            </w:r>
          </w:p>
        </w:tc>
        <w:tc>
          <w:tcPr>
            <w:tcW w:w="1351" w:type="pct"/>
            <w:vAlign w:val="center"/>
          </w:tcPr>
          <w:p w14:paraId="694D8143" w14:textId="77777777" w:rsidR="00C925E5" w:rsidRPr="004142A8" w:rsidRDefault="00C925E5" w:rsidP="005E13A2">
            <w:pPr>
              <w:spacing w:beforeAutospacing="0"/>
              <w:jc w:val="center"/>
              <w:rPr>
                <w:b/>
                <w:bCs/>
              </w:rPr>
            </w:pPr>
            <w:r w:rsidRPr="004142A8">
              <w:rPr>
                <w:b/>
                <w:bCs/>
              </w:rPr>
              <w:t>Institution</w:t>
            </w:r>
          </w:p>
        </w:tc>
      </w:tr>
      <w:tr w:rsidR="00C925E5" w14:paraId="09EF58BE" w14:textId="77777777" w:rsidTr="005E13A2">
        <w:tc>
          <w:tcPr>
            <w:tcW w:w="1247" w:type="pct"/>
            <w:vAlign w:val="center"/>
          </w:tcPr>
          <w:p w14:paraId="00928E03" w14:textId="77777777" w:rsidR="00C925E5" w:rsidRPr="004142A8" w:rsidRDefault="00C925E5" w:rsidP="005E13A2">
            <w:pPr>
              <w:spacing w:beforeAutospacing="0"/>
              <w:jc w:val="center"/>
              <w:rPr>
                <w:sz w:val="20"/>
                <w:szCs w:val="20"/>
              </w:rPr>
            </w:pPr>
            <w:r w:rsidRPr="004142A8">
              <w:rPr>
                <w:sz w:val="20"/>
                <w:szCs w:val="20"/>
              </w:rPr>
              <w:t>1</w:t>
            </w:r>
          </w:p>
        </w:tc>
        <w:tc>
          <w:tcPr>
            <w:tcW w:w="1161" w:type="pct"/>
            <w:vAlign w:val="center"/>
          </w:tcPr>
          <w:p w14:paraId="115EBA65" w14:textId="77777777" w:rsidR="00C925E5" w:rsidRPr="004142A8" w:rsidRDefault="00C925E5" w:rsidP="005E13A2">
            <w:pPr>
              <w:spacing w:beforeAutospacing="0"/>
              <w:jc w:val="center"/>
              <w:rPr>
                <w:sz w:val="20"/>
                <w:szCs w:val="20"/>
              </w:rPr>
            </w:pPr>
            <w:r>
              <w:rPr>
                <w:sz w:val="20"/>
                <w:szCs w:val="20"/>
              </w:rPr>
              <w:t>21/12</w:t>
            </w:r>
            <w:r w:rsidRPr="004142A8">
              <w:rPr>
                <w:sz w:val="20"/>
                <w:szCs w:val="20"/>
              </w:rPr>
              <w:t>/202</w:t>
            </w:r>
            <w:r>
              <w:rPr>
                <w:sz w:val="20"/>
                <w:szCs w:val="20"/>
              </w:rPr>
              <w:t>1</w:t>
            </w:r>
          </w:p>
        </w:tc>
        <w:tc>
          <w:tcPr>
            <w:tcW w:w="1241" w:type="pct"/>
            <w:vAlign w:val="center"/>
          </w:tcPr>
          <w:p w14:paraId="7A217C19" w14:textId="77777777" w:rsidR="00C925E5" w:rsidRPr="004142A8" w:rsidRDefault="00C925E5" w:rsidP="005E13A2">
            <w:pPr>
              <w:spacing w:beforeAutospacing="0"/>
              <w:jc w:val="center"/>
              <w:rPr>
                <w:sz w:val="20"/>
                <w:szCs w:val="20"/>
              </w:rPr>
            </w:pPr>
            <w:r>
              <w:rPr>
                <w:sz w:val="20"/>
                <w:szCs w:val="20"/>
              </w:rPr>
              <w:t>Rosemary Lees</w:t>
            </w:r>
          </w:p>
        </w:tc>
        <w:tc>
          <w:tcPr>
            <w:tcW w:w="1351" w:type="pct"/>
            <w:vAlign w:val="center"/>
          </w:tcPr>
          <w:p w14:paraId="71A2B464" w14:textId="77777777" w:rsidR="00C925E5" w:rsidRPr="004142A8" w:rsidRDefault="00C925E5" w:rsidP="005E13A2">
            <w:pPr>
              <w:spacing w:beforeAutospacing="0"/>
              <w:jc w:val="center"/>
              <w:rPr>
                <w:sz w:val="20"/>
                <w:szCs w:val="20"/>
              </w:rPr>
            </w:pPr>
            <w:r w:rsidRPr="004142A8">
              <w:rPr>
                <w:sz w:val="20"/>
                <w:szCs w:val="20"/>
              </w:rPr>
              <w:t>I2I</w:t>
            </w:r>
          </w:p>
        </w:tc>
      </w:tr>
      <w:tr w:rsidR="00C925E5" w14:paraId="1C61DC03" w14:textId="77777777" w:rsidTr="005E13A2">
        <w:tc>
          <w:tcPr>
            <w:tcW w:w="1247" w:type="pct"/>
            <w:vAlign w:val="center"/>
          </w:tcPr>
          <w:p w14:paraId="3E2C209A" w14:textId="77777777" w:rsidR="00C925E5" w:rsidRPr="004142A8" w:rsidRDefault="00C925E5" w:rsidP="005E13A2">
            <w:pPr>
              <w:spacing w:beforeAutospacing="0"/>
              <w:jc w:val="center"/>
              <w:rPr>
                <w:sz w:val="20"/>
                <w:szCs w:val="20"/>
              </w:rPr>
            </w:pPr>
            <w:r w:rsidRPr="004142A8">
              <w:rPr>
                <w:sz w:val="20"/>
                <w:szCs w:val="20"/>
              </w:rPr>
              <w:t>2</w:t>
            </w:r>
          </w:p>
        </w:tc>
        <w:tc>
          <w:tcPr>
            <w:tcW w:w="1161" w:type="pct"/>
            <w:vAlign w:val="center"/>
          </w:tcPr>
          <w:p w14:paraId="3DEB9AE6" w14:textId="47ADD3C4" w:rsidR="00C925E5" w:rsidRPr="004142A8" w:rsidRDefault="00993C09" w:rsidP="005E13A2">
            <w:pPr>
              <w:spacing w:beforeAutospacing="0"/>
              <w:jc w:val="center"/>
              <w:rPr>
                <w:sz w:val="20"/>
                <w:szCs w:val="20"/>
              </w:rPr>
            </w:pPr>
            <w:r>
              <w:rPr>
                <w:sz w:val="20"/>
                <w:szCs w:val="20"/>
              </w:rPr>
              <w:t>13/09/2022</w:t>
            </w:r>
          </w:p>
        </w:tc>
        <w:tc>
          <w:tcPr>
            <w:tcW w:w="1241" w:type="pct"/>
            <w:vAlign w:val="center"/>
          </w:tcPr>
          <w:p w14:paraId="12A23310" w14:textId="341088ED" w:rsidR="00C925E5" w:rsidRPr="004142A8" w:rsidRDefault="00993C09" w:rsidP="005E13A2">
            <w:pPr>
              <w:spacing w:beforeAutospacing="0"/>
              <w:jc w:val="center"/>
              <w:rPr>
                <w:sz w:val="20"/>
                <w:szCs w:val="20"/>
              </w:rPr>
            </w:pPr>
            <w:r>
              <w:rPr>
                <w:sz w:val="20"/>
                <w:szCs w:val="20"/>
              </w:rPr>
              <w:t>Rosemary Lees</w:t>
            </w:r>
          </w:p>
        </w:tc>
        <w:tc>
          <w:tcPr>
            <w:tcW w:w="1351" w:type="pct"/>
            <w:vAlign w:val="center"/>
          </w:tcPr>
          <w:p w14:paraId="738DA78E" w14:textId="69C5B0D7" w:rsidR="00C925E5" w:rsidRPr="004142A8" w:rsidRDefault="00993C09" w:rsidP="005E13A2">
            <w:pPr>
              <w:spacing w:beforeAutospacing="0"/>
              <w:jc w:val="center"/>
              <w:rPr>
                <w:sz w:val="20"/>
                <w:szCs w:val="20"/>
              </w:rPr>
            </w:pPr>
            <w:r>
              <w:rPr>
                <w:sz w:val="20"/>
                <w:szCs w:val="20"/>
              </w:rPr>
              <w:t>I2I</w:t>
            </w:r>
          </w:p>
        </w:tc>
      </w:tr>
      <w:tr w:rsidR="006A242A" w14:paraId="05746071" w14:textId="77777777" w:rsidTr="005E13A2">
        <w:tc>
          <w:tcPr>
            <w:tcW w:w="1247" w:type="pct"/>
            <w:vAlign w:val="center"/>
          </w:tcPr>
          <w:p w14:paraId="3E6E95FB" w14:textId="5CA47364" w:rsidR="006A242A" w:rsidRPr="004142A8" w:rsidRDefault="006A242A" w:rsidP="005E13A2">
            <w:pPr>
              <w:spacing w:beforeAutospacing="0"/>
              <w:jc w:val="center"/>
              <w:rPr>
                <w:sz w:val="20"/>
                <w:szCs w:val="20"/>
              </w:rPr>
            </w:pPr>
            <w:r>
              <w:rPr>
                <w:sz w:val="20"/>
                <w:szCs w:val="20"/>
              </w:rPr>
              <w:t>3</w:t>
            </w:r>
          </w:p>
        </w:tc>
        <w:tc>
          <w:tcPr>
            <w:tcW w:w="1161" w:type="pct"/>
            <w:vAlign w:val="center"/>
          </w:tcPr>
          <w:p w14:paraId="337C8AFC" w14:textId="6E601CF8" w:rsidR="006A242A" w:rsidRDefault="006A242A" w:rsidP="005E13A2">
            <w:pPr>
              <w:spacing w:beforeAutospacing="0"/>
              <w:jc w:val="center"/>
              <w:rPr>
                <w:sz w:val="20"/>
                <w:szCs w:val="20"/>
              </w:rPr>
            </w:pPr>
            <w:r>
              <w:rPr>
                <w:sz w:val="20"/>
                <w:szCs w:val="20"/>
              </w:rPr>
              <w:t>01/03/2023</w:t>
            </w:r>
          </w:p>
        </w:tc>
        <w:tc>
          <w:tcPr>
            <w:tcW w:w="1241" w:type="pct"/>
            <w:vAlign w:val="center"/>
          </w:tcPr>
          <w:p w14:paraId="4BECC65B" w14:textId="7829B564" w:rsidR="006A242A" w:rsidRDefault="00E92B37" w:rsidP="005E13A2">
            <w:pPr>
              <w:spacing w:beforeAutospacing="0"/>
              <w:jc w:val="center"/>
              <w:rPr>
                <w:sz w:val="20"/>
                <w:szCs w:val="20"/>
              </w:rPr>
            </w:pPr>
            <w:r>
              <w:rPr>
                <w:sz w:val="20"/>
                <w:szCs w:val="20"/>
              </w:rPr>
              <w:t>Rosemary Lees</w:t>
            </w:r>
          </w:p>
        </w:tc>
        <w:tc>
          <w:tcPr>
            <w:tcW w:w="1351" w:type="pct"/>
            <w:vAlign w:val="center"/>
          </w:tcPr>
          <w:p w14:paraId="55825E9C" w14:textId="037599EC" w:rsidR="006A242A" w:rsidRDefault="006A242A" w:rsidP="005E13A2">
            <w:pPr>
              <w:spacing w:beforeAutospacing="0"/>
              <w:jc w:val="center"/>
              <w:rPr>
                <w:sz w:val="20"/>
                <w:szCs w:val="20"/>
              </w:rPr>
            </w:pPr>
            <w:r>
              <w:rPr>
                <w:sz w:val="20"/>
                <w:szCs w:val="20"/>
              </w:rPr>
              <w:t>I2I</w:t>
            </w:r>
          </w:p>
        </w:tc>
      </w:tr>
    </w:tbl>
    <w:p w14:paraId="71422871" w14:textId="77777777" w:rsidR="00C925E5" w:rsidRDefault="00C925E5" w:rsidP="00C925E5">
      <w:pPr>
        <w:spacing w:before="0" w:beforeAutospacing="0"/>
        <w:jc w:val="center"/>
        <w:rPr>
          <w:b/>
          <w:bCs/>
        </w:rPr>
      </w:pPr>
    </w:p>
    <w:p w14:paraId="12167096" w14:textId="77777777" w:rsidR="00C925E5" w:rsidRDefault="00C925E5" w:rsidP="00C925E5">
      <w:pPr>
        <w:spacing w:before="0" w:beforeAutospacing="0"/>
        <w:rPr>
          <w:b/>
          <w:bCs/>
        </w:rPr>
      </w:pPr>
      <w:r>
        <w:rPr>
          <w:b/>
          <w:bCs/>
        </w:rPr>
        <w:t>Version Control</w:t>
      </w:r>
      <w:r>
        <w:rPr>
          <w:rStyle w:val="FootnoteReference"/>
          <w:b/>
          <w:bCs/>
        </w:rPr>
        <w:footnoteReference w:id="1"/>
      </w:r>
    </w:p>
    <w:tbl>
      <w:tblPr>
        <w:tblStyle w:val="TableGrid"/>
        <w:tblW w:w="9015" w:type="dxa"/>
        <w:tblLook w:val="04A0" w:firstRow="1" w:lastRow="0" w:firstColumn="1" w:lastColumn="0" w:noHBand="0" w:noVBand="1"/>
      </w:tblPr>
      <w:tblGrid>
        <w:gridCol w:w="2057"/>
        <w:gridCol w:w="2057"/>
        <w:gridCol w:w="2057"/>
        <w:gridCol w:w="2844"/>
      </w:tblGrid>
      <w:tr w:rsidR="00C925E5" w:rsidRPr="00091FB1" w14:paraId="1010A089" w14:textId="77777777" w:rsidTr="005E13A2">
        <w:tc>
          <w:tcPr>
            <w:tcW w:w="2057" w:type="dxa"/>
          </w:tcPr>
          <w:p w14:paraId="01E9F5F3" w14:textId="77777777" w:rsidR="00C925E5" w:rsidRPr="00091FB1" w:rsidRDefault="00C925E5" w:rsidP="005E13A2">
            <w:pPr>
              <w:spacing w:beforeAutospacing="0"/>
              <w:jc w:val="center"/>
              <w:rPr>
                <w:b/>
                <w:bCs/>
              </w:rPr>
            </w:pPr>
            <w:r w:rsidRPr="00091FB1">
              <w:rPr>
                <w:b/>
                <w:bCs/>
              </w:rPr>
              <w:t>Version</w:t>
            </w:r>
          </w:p>
        </w:tc>
        <w:tc>
          <w:tcPr>
            <w:tcW w:w="2057" w:type="dxa"/>
          </w:tcPr>
          <w:p w14:paraId="078D1B63" w14:textId="77777777" w:rsidR="00C925E5" w:rsidRPr="00091FB1" w:rsidRDefault="00C925E5" w:rsidP="005E13A2">
            <w:pPr>
              <w:spacing w:beforeAutospacing="0"/>
              <w:jc w:val="center"/>
              <w:rPr>
                <w:b/>
                <w:bCs/>
              </w:rPr>
            </w:pPr>
            <w:r w:rsidRPr="00091FB1">
              <w:rPr>
                <w:b/>
                <w:bCs/>
              </w:rPr>
              <w:t>Date</w:t>
            </w:r>
          </w:p>
        </w:tc>
        <w:tc>
          <w:tcPr>
            <w:tcW w:w="2057" w:type="dxa"/>
          </w:tcPr>
          <w:p w14:paraId="4B60499B" w14:textId="77777777" w:rsidR="00C925E5" w:rsidRPr="00091FB1" w:rsidRDefault="00C925E5" w:rsidP="005E13A2">
            <w:pPr>
              <w:spacing w:beforeAutospacing="0"/>
              <w:jc w:val="center"/>
              <w:rPr>
                <w:b/>
                <w:bCs/>
              </w:rPr>
            </w:pPr>
            <w:r w:rsidRPr="00091FB1">
              <w:rPr>
                <w:b/>
                <w:bCs/>
              </w:rPr>
              <w:t>Updated by</w:t>
            </w:r>
          </w:p>
        </w:tc>
        <w:tc>
          <w:tcPr>
            <w:tcW w:w="2844" w:type="dxa"/>
          </w:tcPr>
          <w:p w14:paraId="47F4A953" w14:textId="77777777" w:rsidR="00C925E5" w:rsidRPr="00091FB1" w:rsidRDefault="00C925E5" w:rsidP="005E13A2">
            <w:pPr>
              <w:spacing w:beforeAutospacing="0"/>
              <w:jc w:val="center"/>
              <w:rPr>
                <w:b/>
                <w:bCs/>
              </w:rPr>
            </w:pPr>
            <w:r w:rsidRPr="00091FB1">
              <w:rPr>
                <w:b/>
                <w:bCs/>
              </w:rPr>
              <w:t>Description of update(s)</w:t>
            </w:r>
          </w:p>
        </w:tc>
      </w:tr>
      <w:tr w:rsidR="006A242A" w:rsidRPr="00091FB1" w14:paraId="1CE0A771" w14:textId="77777777" w:rsidTr="005E13A2">
        <w:tc>
          <w:tcPr>
            <w:tcW w:w="2057" w:type="dxa"/>
          </w:tcPr>
          <w:p w14:paraId="0559B2F6" w14:textId="71846CFE" w:rsidR="006A242A" w:rsidRDefault="006A242A" w:rsidP="00452275">
            <w:pPr>
              <w:spacing w:beforeAutospacing="0"/>
              <w:jc w:val="center"/>
              <w:rPr>
                <w:sz w:val="20"/>
                <w:szCs w:val="20"/>
              </w:rPr>
            </w:pPr>
            <w:r>
              <w:rPr>
                <w:sz w:val="20"/>
                <w:szCs w:val="20"/>
              </w:rPr>
              <w:t>3</w:t>
            </w:r>
          </w:p>
        </w:tc>
        <w:tc>
          <w:tcPr>
            <w:tcW w:w="2057" w:type="dxa"/>
          </w:tcPr>
          <w:p w14:paraId="5D332B2E" w14:textId="25623686" w:rsidR="006A242A" w:rsidRDefault="006A242A" w:rsidP="005E13A2">
            <w:pPr>
              <w:spacing w:beforeAutospacing="0"/>
              <w:jc w:val="center"/>
              <w:rPr>
                <w:sz w:val="20"/>
                <w:szCs w:val="20"/>
              </w:rPr>
            </w:pPr>
            <w:r>
              <w:rPr>
                <w:sz w:val="20"/>
                <w:szCs w:val="20"/>
              </w:rPr>
              <w:t>01/03/2023</w:t>
            </w:r>
          </w:p>
        </w:tc>
        <w:tc>
          <w:tcPr>
            <w:tcW w:w="2057" w:type="dxa"/>
          </w:tcPr>
          <w:p w14:paraId="0F0C7D2C" w14:textId="210BE093" w:rsidR="006A242A" w:rsidRDefault="006A242A" w:rsidP="005E13A2">
            <w:pPr>
              <w:spacing w:beforeAutospacing="0"/>
              <w:jc w:val="center"/>
              <w:rPr>
                <w:sz w:val="20"/>
                <w:szCs w:val="20"/>
              </w:rPr>
            </w:pPr>
            <w:r>
              <w:rPr>
                <w:sz w:val="20"/>
                <w:szCs w:val="20"/>
              </w:rPr>
              <w:t>Katherine Gleave</w:t>
            </w:r>
          </w:p>
        </w:tc>
        <w:tc>
          <w:tcPr>
            <w:tcW w:w="2844" w:type="dxa"/>
          </w:tcPr>
          <w:p w14:paraId="6D2AC551" w14:textId="1F2E1BB1" w:rsidR="006A242A" w:rsidRDefault="001D0029" w:rsidP="005E13A2">
            <w:pPr>
              <w:spacing w:beforeAutospacing="0"/>
              <w:jc w:val="center"/>
              <w:rPr>
                <w:sz w:val="20"/>
                <w:szCs w:val="20"/>
              </w:rPr>
            </w:pPr>
            <w:r>
              <w:rPr>
                <w:sz w:val="20"/>
                <w:szCs w:val="20"/>
              </w:rPr>
              <w:t xml:space="preserve">Updated: information on chemical analysis size requirements </w:t>
            </w:r>
          </w:p>
        </w:tc>
      </w:tr>
      <w:tr w:rsidR="00C925E5" w:rsidRPr="00091FB1" w14:paraId="56DC0D35" w14:textId="77777777" w:rsidTr="005E13A2">
        <w:tc>
          <w:tcPr>
            <w:tcW w:w="2057" w:type="dxa"/>
          </w:tcPr>
          <w:p w14:paraId="68EB50E7" w14:textId="221C9401" w:rsidR="00C925E5" w:rsidRPr="00091FB1" w:rsidRDefault="00452275" w:rsidP="00452275">
            <w:pPr>
              <w:spacing w:beforeAutospacing="0"/>
              <w:jc w:val="center"/>
              <w:rPr>
                <w:sz w:val="20"/>
                <w:szCs w:val="20"/>
              </w:rPr>
            </w:pPr>
            <w:r>
              <w:rPr>
                <w:sz w:val="20"/>
                <w:szCs w:val="20"/>
              </w:rPr>
              <w:lastRenderedPageBreak/>
              <w:t>2</w:t>
            </w:r>
          </w:p>
        </w:tc>
        <w:tc>
          <w:tcPr>
            <w:tcW w:w="2057" w:type="dxa"/>
          </w:tcPr>
          <w:p w14:paraId="268BA368" w14:textId="07F86947" w:rsidR="00C925E5" w:rsidRPr="00091FB1" w:rsidRDefault="00452275" w:rsidP="005E13A2">
            <w:pPr>
              <w:spacing w:beforeAutospacing="0"/>
              <w:jc w:val="center"/>
              <w:rPr>
                <w:sz w:val="20"/>
                <w:szCs w:val="20"/>
              </w:rPr>
            </w:pPr>
            <w:r>
              <w:rPr>
                <w:sz w:val="20"/>
                <w:szCs w:val="20"/>
              </w:rPr>
              <w:t>13/09/2022</w:t>
            </w:r>
          </w:p>
        </w:tc>
        <w:tc>
          <w:tcPr>
            <w:tcW w:w="2057" w:type="dxa"/>
          </w:tcPr>
          <w:p w14:paraId="56089F6D" w14:textId="5CD36C4C" w:rsidR="00C925E5" w:rsidRPr="00091FB1" w:rsidRDefault="00452275" w:rsidP="005E13A2">
            <w:pPr>
              <w:spacing w:beforeAutospacing="0"/>
              <w:jc w:val="center"/>
              <w:rPr>
                <w:sz w:val="20"/>
                <w:szCs w:val="20"/>
              </w:rPr>
            </w:pPr>
            <w:r>
              <w:rPr>
                <w:sz w:val="20"/>
                <w:szCs w:val="20"/>
              </w:rPr>
              <w:t>Katherine Gleave</w:t>
            </w:r>
          </w:p>
        </w:tc>
        <w:tc>
          <w:tcPr>
            <w:tcW w:w="2844" w:type="dxa"/>
          </w:tcPr>
          <w:p w14:paraId="23D8FFDA" w14:textId="6607C87D" w:rsidR="00C925E5" w:rsidRPr="00091FB1" w:rsidRDefault="00452275" w:rsidP="005E13A2">
            <w:pPr>
              <w:spacing w:beforeAutospacing="0"/>
              <w:jc w:val="center"/>
              <w:rPr>
                <w:sz w:val="20"/>
                <w:szCs w:val="20"/>
              </w:rPr>
            </w:pPr>
            <w:r>
              <w:rPr>
                <w:sz w:val="20"/>
                <w:szCs w:val="20"/>
              </w:rPr>
              <w:t xml:space="preserve">Updated: </w:t>
            </w:r>
            <w:r w:rsidR="008F572E">
              <w:rPr>
                <w:sz w:val="20"/>
                <w:szCs w:val="20"/>
              </w:rPr>
              <w:t>placement of net samples if sampling for biological and chemical analysis from same net.</w:t>
            </w:r>
            <w:r w:rsidR="00C925E5" w:rsidRPr="00091FB1">
              <w:rPr>
                <w:sz w:val="20"/>
                <w:szCs w:val="20"/>
              </w:rPr>
              <w:t xml:space="preserve">  </w:t>
            </w:r>
          </w:p>
        </w:tc>
      </w:tr>
    </w:tbl>
    <w:p w14:paraId="52F3A13D" w14:textId="77777777" w:rsidR="00C925E5" w:rsidRDefault="00C925E5" w:rsidP="00C925E5">
      <w:pPr>
        <w:spacing w:before="0" w:beforeAutospacing="0"/>
        <w:jc w:val="both"/>
        <w:rPr>
          <w:rFonts w:asciiTheme="minorHAnsi" w:eastAsia="Times New Roman" w:hAnsiTheme="minorHAnsi" w:cstheme="minorHAnsi"/>
          <w:color w:val="000000"/>
          <w:sz w:val="24"/>
          <w:szCs w:val="24"/>
        </w:rPr>
      </w:pPr>
    </w:p>
    <w:p w14:paraId="677D8C15" w14:textId="77777777" w:rsidR="00C925E5" w:rsidRDefault="00C925E5" w:rsidP="00C925E5">
      <w:pPr>
        <w:spacing w:before="0" w:beforeAutospacing="0" w:after="160" w:line="259" w:lineRule="auto"/>
        <w:rPr>
          <w:rFonts w:ascii="Noto Sans SemBd" w:hAnsi="Noto Sans SemBd"/>
          <w:color w:val="86B958"/>
          <w:sz w:val="32"/>
          <w:szCs w:val="31"/>
        </w:rPr>
      </w:pPr>
    </w:p>
    <w:p w14:paraId="5673E32F" w14:textId="77777777" w:rsidR="00C925E5" w:rsidRDefault="00C925E5" w:rsidP="00C925E5">
      <w:pPr>
        <w:spacing w:before="0" w:beforeAutospacing="0" w:after="160" w:line="259" w:lineRule="auto"/>
        <w:rPr>
          <w:rFonts w:ascii="Noto Sans SemBd" w:hAnsi="Noto Sans SemBd"/>
          <w:color w:val="86B958"/>
          <w:sz w:val="32"/>
          <w:szCs w:val="31"/>
        </w:rPr>
      </w:pPr>
      <w:r>
        <w:rPr>
          <w:rFonts w:ascii="Noto Sans SemBd" w:hAnsi="Noto Sans SemBd"/>
          <w:color w:val="86B958"/>
          <w:sz w:val="32"/>
          <w:szCs w:val="31"/>
        </w:rPr>
        <w:t>Related SOPs.</w:t>
      </w:r>
    </w:p>
    <w:p w14:paraId="36DF6EF2" w14:textId="77777777" w:rsidR="00C925E5" w:rsidRPr="00694F57" w:rsidRDefault="00C925E5" w:rsidP="00C925E5">
      <w:pPr>
        <w:pStyle w:val="ListParagraph"/>
        <w:numPr>
          <w:ilvl w:val="0"/>
          <w:numId w:val="8"/>
        </w:numPr>
      </w:pPr>
      <w:r w:rsidRPr="00694F57">
        <w:t>Strain characterisation of resistant mosquitoes for monitoring bioefficacy in ITNs treated with two active ingredients (Dual-AI ITNS). (I2I-SOP-016).</w:t>
      </w:r>
    </w:p>
    <w:p w14:paraId="34B010D5" w14:textId="7201DE12" w:rsidR="00C925E5" w:rsidRPr="003C318D" w:rsidRDefault="00C925E5" w:rsidP="00C925E5">
      <w:pPr>
        <w:pStyle w:val="ListParagraph"/>
        <w:numPr>
          <w:ilvl w:val="0"/>
          <w:numId w:val="8"/>
        </w:numPr>
        <w:rPr>
          <w:b/>
          <w:bCs/>
        </w:rPr>
      </w:pPr>
      <w:r w:rsidRPr="00694F57">
        <w:t xml:space="preserve">Durability monitoring method development: Dual AI insecticide-treated nets containing a pyrethroid plus </w:t>
      </w:r>
      <w:r w:rsidR="00F40D46">
        <w:t>chlorfenapyr</w:t>
      </w:r>
      <w:r w:rsidRPr="00694F57">
        <w:t>’</w:t>
      </w:r>
      <w:r>
        <w:t>. (I2I-MD-00</w:t>
      </w:r>
      <w:r w:rsidR="00F40D46">
        <w:t>3</w:t>
      </w:r>
      <w:r>
        <w:t>).</w:t>
      </w:r>
    </w:p>
    <w:p w14:paraId="618289D4" w14:textId="77777777" w:rsidR="00C925E5" w:rsidRDefault="00C925E5" w:rsidP="00C925E5">
      <w:pPr>
        <w:spacing w:before="0" w:beforeAutospacing="0" w:after="160" w:line="259" w:lineRule="auto"/>
        <w:rPr>
          <w:rFonts w:ascii="Noto Sans SemBd" w:hAnsi="Noto Sans SemBd"/>
          <w:color w:val="86B958"/>
          <w:sz w:val="32"/>
          <w:szCs w:val="31"/>
        </w:rPr>
      </w:pPr>
    </w:p>
    <w:p w14:paraId="67EE6AAC" w14:textId="77777777" w:rsidR="00C925E5" w:rsidRDefault="00C925E5" w:rsidP="00C925E5">
      <w:pPr>
        <w:pStyle w:val="Heading1"/>
        <w:numPr>
          <w:ilvl w:val="0"/>
          <w:numId w:val="1"/>
        </w:numPr>
        <w:tabs>
          <w:tab w:val="num" w:pos="360"/>
        </w:tabs>
        <w:ind w:left="0" w:firstLine="0"/>
      </w:pPr>
      <w:r>
        <w:t>Purpose</w:t>
      </w:r>
    </w:p>
    <w:p w14:paraId="407F2E76" w14:textId="45E34805" w:rsidR="00C925E5" w:rsidRPr="00E83E71" w:rsidRDefault="00444780" w:rsidP="00C925E5">
      <w:r w:rsidRPr="00444780">
        <w:rPr>
          <w:lang w:val="en-GB"/>
        </w:rPr>
        <w:t>This standard operating procedure (SOP) describes the methods to determine the bioefficacy of the pyrethroid and chlorfenapyr (CFP) components of insecticide-treated nets (ITNs) used under operational conditions. The process used to determine the methodology detailed in this SOP, and justifications for key methodological parameters can be found in ‘I2I-MD-003: Durability monitoring method development: Dual AI insecticide-treated nets containing a pyrethroid plus Chlorfenapyr2I-MD-003: Durability monitoring method development:  Dual AI ITNs containing Chlorfenapyr’</w:t>
      </w:r>
      <w:r w:rsidR="00C925E5">
        <w:t>.</w:t>
      </w:r>
    </w:p>
    <w:p w14:paraId="6A2646DF" w14:textId="77777777" w:rsidR="00C925E5" w:rsidRPr="00ED2CB7" w:rsidRDefault="00C925E5" w:rsidP="00C925E5">
      <w:pPr>
        <w:pStyle w:val="Heading1"/>
      </w:pPr>
    </w:p>
    <w:p w14:paraId="5979C954" w14:textId="77777777" w:rsidR="00C925E5" w:rsidRDefault="00C925E5" w:rsidP="00C925E5">
      <w:pPr>
        <w:pStyle w:val="Heading1"/>
        <w:numPr>
          <w:ilvl w:val="0"/>
          <w:numId w:val="1"/>
        </w:numPr>
        <w:tabs>
          <w:tab w:val="num" w:pos="360"/>
        </w:tabs>
        <w:ind w:left="0" w:firstLine="0"/>
      </w:pPr>
      <w:r>
        <w:t xml:space="preserve">Background </w:t>
      </w:r>
    </w:p>
    <w:p w14:paraId="302D8012" w14:textId="78F51B5D" w:rsidR="00C925E5" w:rsidRDefault="00444780" w:rsidP="00C925E5">
      <w:r w:rsidRPr="00444780">
        <w:rPr>
          <w:lang w:val="en-GB"/>
        </w:rPr>
        <w:t>Pyrethroid + chlorfenapyr nets are PQ listed (i.e. Interceptor G2) and being deployed in randomised control trials (RCTs) and pilot deployment schemes. There is therefore an urgent need for a method to measure the bioefficacy of these nets, to collect baseline data and subsequently measure the durability of biological efficacy in nets collected from the field after fixed periods of use. Monitoring the bioefficacy of the active ingredients (AI) in the nets is a vital part of establishing the durability of these nets under operational conditions</w:t>
      </w:r>
      <w:r w:rsidR="00C925E5" w:rsidRPr="00ED2CB7">
        <w:t>.</w:t>
      </w:r>
    </w:p>
    <w:p w14:paraId="5C97033C" w14:textId="77777777" w:rsidR="00C925E5" w:rsidRDefault="00C925E5" w:rsidP="00C925E5">
      <w:pPr>
        <w:pStyle w:val="Heading1"/>
        <w:numPr>
          <w:ilvl w:val="0"/>
          <w:numId w:val="1"/>
        </w:numPr>
        <w:tabs>
          <w:tab w:val="num" w:pos="360"/>
        </w:tabs>
        <w:ind w:left="0" w:firstLine="0"/>
      </w:pPr>
      <w:r>
        <w:lastRenderedPageBreak/>
        <w:t xml:space="preserve">Materials and equipment </w:t>
      </w:r>
    </w:p>
    <w:p w14:paraId="286406B1" w14:textId="77777777" w:rsidR="00C925E5" w:rsidRPr="00ED2CB7" w:rsidRDefault="00C925E5" w:rsidP="00C925E5">
      <w:pPr>
        <w:pStyle w:val="ListParagraph"/>
        <w:numPr>
          <w:ilvl w:val="1"/>
          <w:numId w:val="1"/>
        </w:numPr>
        <w:rPr>
          <w:b/>
          <w:bCs/>
        </w:rPr>
      </w:pPr>
      <w:r>
        <w:rPr>
          <w:b/>
          <w:bCs/>
        </w:rPr>
        <w:t>General</w:t>
      </w:r>
      <w:r w:rsidRPr="002B5C6D">
        <w:rPr>
          <w:b/>
          <w:bCs/>
        </w:rPr>
        <w:t>.</w:t>
      </w:r>
    </w:p>
    <w:p w14:paraId="20616B60" w14:textId="77777777" w:rsidR="00C925E5" w:rsidRDefault="00C925E5" w:rsidP="00C925E5">
      <w:pPr>
        <w:pStyle w:val="ListParagraph"/>
        <w:numPr>
          <w:ilvl w:val="2"/>
          <w:numId w:val="2"/>
        </w:numPr>
      </w:pPr>
      <w:r>
        <w:t>Data collection sheets</w:t>
      </w:r>
    </w:p>
    <w:p w14:paraId="546108C2" w14:textId="77777777" w:rsidR="00C925E5" w:rsidRDefault="00C925E5" w:rsidP="00C925E5">
      <w:pPr>
        <w:pStyle w:val="ListParagraph"/>
        <w:numPr>
          <w:ilvl w:val="2"/>
          <w:numId w:val="2"/>
        </w:numPr>
      </w:pPr>
      <w:r>
        <w:t>Lab coat</w:t>
      </w:r>
    </w:p>
    <w:p w14:paraId="2999CDE0" w14:textId="77777777" w:rsidR="00C925E5" w:rsidRDefault="00C925E5" w:rsidP="00C925E5">
      <w:pPr>
        <w:pStyle w:val="ListParagraph"/>
        <w:numPr>
          <w:ilvl w:val="2"/>
          <w:numId w:val="2"/>
        </w:numPr>
      </w:pPr>
      <w:r>
        <w:t>Gloves</w:t>
      </w:r>
    </w:p>
    <w:p w14:paraId="0C7BC439" w14:textId="1117DDDE" w:rsidR="00C925E5" w:rsidRDefault="00C925E5" w:rsidP="00C925E5">
      <w:pPr>
        <w:pStyle w:val="ListParagraph"/>
        <w:numPr>
          <w:ilvl w:val="2"/>
          <w:numId w:val="2"/>
        </w:numPr>
      </w:pPr>
      <w:r>
        <w:t xml:space="preserve">Test pyrethroid + </w:t>
      </w:r>
      <w:r w:rsidR="00444780">
        <w:t>CFP</w:t>
      </w:r>
      <w:r>
        <w:t xml:space="preserve"> nets</w:t>
      </w:r>
    </w:p>
    <w:p w14:paraId="03237AE1" w14:textId="77777777" w:rsidR="00C925E5" w:rsidRDefault="00C925E5" w:rsidP="00C925E5">
      <w:pPr>
        <w:pStyle w:val="ListParagraph"/>
        <w:numPr>
          <w:ilvl w:val="2"/>
          <w:numId w:val="2"/>
        </w:numPr>
      </w:pPr>
      <w:r>
        <w:t>Control untreated net</w:t>
      </w:r>
    </w:p>
    <w:p w14:paraId="66649D09" w14:textId="77777777" w:rsidR="00C925E5" w:rsidRDefault="00C925E5" w:rsidP="00C925E5">
      <w:pPr>
        <w:pStyle w:val="ListParagraph"/>
        <w:numPr>
          <w:ilvl w:val="2"/>
          <w:numId w:val="2"/>
        </w:numPr>
      </w:pPr>
      <w:r>
        <w:t>Aspirator (manual/electronic), separate for each insecticide</w:t>
      </w:r>
    </w:p>
    <w:p w14:paraId="3CE9512F" w14:textId="77777777" w:rsidR="00C925E5" w:rsidRDefault="00C925E5" w:rsidP="00C925E5">
      <w:pPr>
        <w:pStyle w:val="ListParagraph"/>
        <w:numPr>
          <w:ilvl w:val="2"/>
          <w:numId w:val="2"/>
        </w:numPr>
      </w:pPr>
      <w:r>
        <w:t>Mosquito strains</w:t>
      </w:r>
    </w:p>
    <w:p w14:paraId="5DDC4373" w14:textId="77777777" w:rsidR="00C925E5" w:rsidRDefault="00C925E5" w:rsidP="00C925E5">
      <w:pPr>
        <w:pStyle w:val="ListParagraph"/>
        <w:numPr>
          <w:ilvl w:val="2"/>
          <w:numId w:val="2"/>
        </w:numPr>
      </w:pPr>
      <w:r>
        <w:t>Pen/permanent markers</w:t>
      </w:r>
    </w:p>
    <w:p w14:paraId="661488A3" w14:textId="77777777" w:rsidR="00C925E5" w:rsidRPr="002B5C6D" w:rsidRDefault="00C925E5" w:rsidP="00C925E5">
      <w:pPr>
        <w:pStyle w:val="ListParagraph"/>
        <w:numPr>
          <w:ilvl w:val="1"/>
          <w:numId w:val="1"/>
        </w:numPr>
        <w:rPr>
          <w:b/>
          <w:bCs/>
        </w:rPr>
      </w:pPr>
      <w:r>
        <w:rPr>
          <w:b/>
          <w:bCs/>
        </w:rPr>
        <w:t>Collection and storage of net samples</w:t>
      </w:r>
    </w:p>
    <w:p w14:paraId="3CCACAB4" w14:textId="77777777" w:rsidR="00C925E5" w:rsidRDefault="00C925E5" w:rsidP="00C925E5">
      <w:pPr>
        <w:pStyle w:val="ListParagraph"/>
        <w:numPr>
          <w:ilvl w:val="2"/>
          <w:numId w:val="3"/>
        </w:numPr>
      </w:pPr>
      <w:r>
        <w:t>Net frame</w:t>
      </w:r>
    </w:p>
    <w:p w14:paraId="4ACF2E09" w14:textId="77777777" w:rsidR="00C925E5" w:rsidRDefault="00C925E5" w:rsidP="00C925E5">
      <w:pPr>
        <w:pStyle w:val="ListParagraph"/>
        <w:numPr>
          <w:ilvl w:val="2"/>
          <w:numId w:val="3"/>
        </w:numPr>
      </w:pPr>
      <w:r>
        <w:t>Scissors</w:t>
      </w:r>
    </w:p>
    <w:p w14:paraId="0925F686" w14:textId="77777777" w:rsidR="00C925E5" w:rsidRDefault="00C925E5" w:rsidP="00C925E5">
      <w:pPr>
        <w:pStyle w:val="ListParagraph"/>
        <w:numPr>
          <w:ilvl w:val="2"/>
          <w:numId w:val="3"/>
        </w:numPr>
      </w:pPr>
      <w:r>
        <w:t xml:space="preserve">Paper labels </w:t>
      </w:r>
    </w:p>
    <w:p w14:paraId="106F31B3" w14:textId="77777777" w:rsidR="00C925E5" w:rsidRDefault="00C925E5" w:rsidP="00C925E5">
      <w:pPr>
        <w:pStyle w:val="ListParagraph"/>
        <w:numPr>
          <w:ilvl w:val="2"/>
          <w:numId w:val="3"/>
        </w:numPr>
      </w:pPr>
      <w:r>
        <w:t>Aluminium foil</w:t>
      </w:r>
    </w:p>
    <w:p w14:paraId="6278BD71" w14:textId="6B4B5786" w:rsidR="00C925E5" w:rsidRPr="00444780" w:rsidRDefault="00444780" w:rsidP="00444780">
      <w:pPr>
        <w:pStyle w:val="ListParagraph"/>
        <w:numPr>
          <w:ilvl w:val="1"/>
          <w:numId w:val="1"/>
        </w:numPr>
        <w:rPr>
          <w:b/>
          <w:bCs/>
        </w:rPr>
      </w:pPr>
      <w:r>
        <w:rPr>
          <w:b/>
          <w:bCs/>
        </w:rPr>
        <w:t>Tunnel test</w:t>
      </w:r>
    </w:p>
    <w:p w14:paraId="4D08799B" w14:textId="77777777" w:rsidR="00C925E5" w:rsidRDefault="00C925E5" w:rsidP="00C925E5">
      <w:pPr>
        <w:pStyle w:val="ListParagraph"/>
        <w:numPr>
          <w:ilvl w:val="2"/>
          <w:numId w:val="4"/>
        </w:numPr>
      </w:pPr>
      <w:r>
        <w:t>Mosquito holding containers (e.g. paper cups covered with untreated netting held by elastic bands)</w:t>
      </w:r>
    </w:p>
    <w:p w14:paraId="65D770CA" w14:textId="77777777" w:rsidR="00444780" w:rsidRDefault="00444780" w:rsidP="00444780">
      <w:pPr>
        <w:pStyle w:val="ListParagraph"/>
        <w:numPr>
          <w:ilvl w:val="2"/>
          <w:numId w:val="4"/>
        </w:numPr>
      </w:pPr>
      <w:r>
        <w:t>60 cm glass/plastic tunnels (25 cm x 25 cm square section), separate for each net type (i.e. untreated or dual-AI CFP net)</w:t>
      </w:r>
    </w:p>
    <w:p w14:paraId="150ED106" w14:textId="77777777" w:rsidR="00444780" w:rsidRDefault="00444780" w:rsidP="00444780">
      <w:pPr>
        <w:pStyle w:val="ListParagraph"/>
        <w:numPr>
          <w:ilvl w:val="2"/>
          <w:numId w:val="4"/>
        </w:numPr>
      </w:pPr>
      <w:r>
        <w:t>Netted capture cages, 25 cm2 (2 per tunnel)</w:t>
      </w:r>
    </w:p>
    <w:p w14:paraId="74758C46" w14:textId="77777777" w:rsidR="00444780" w:rsidRDefault="00444780" w:rsidP="00444780">
      <w:pPr>
        <w:pStyle w:val="ListParagraph"/>
        <w:numPr>
          <w:ilvl w:val="2"/>
          <w:numId w:val="4"/>
        </w:numPr>
      </w:pPr>
      <w:r>
        <w:t>Net frame holder (1 per tunnel)</w:t>
      </w:r>
    </w:p>
    <w:p w14:paraId="5C934301" w14:textId="77777777" w:rsidR="00444780" w:rsidRDefault="00444780" w:rsidP="00444780">
      <w:pPr>
        <w:pStyle w:val="ListParagraph"/>
        <w:numPr>
          <w:ilvl w:val="2"/>
          <w:numId w:val="4"/>
        </w:numPr>
      </w:pPr>
      <w:r>
        <w:t>Animal bait (specify what animal bait is being used)</w:t>
      </w:r>
    </w:p>
    <w:p w14:paraId="187E54A8" w14:textId="77777777" w:rsidR="00444780" w:rsidRDefault="00444780" w:rsidP="00444780">
      <w:pPr>
        <w:pStyle w:val="ListParagraph"/>
        <w:numPr>
          <w:ilvl w:val="2"/>
          <w:numId w:val="4"/>
        </w:numPr>
      </w:pPr>
      <w:r>
        <w:t xml:space="preserve">Temperature and humidity data logger </w:t>
      </w:r>
    </w:p>
    <w:p w14:paraId="41827BF6" w14:textId="77777777" w:rsidR="00444780" w:rsidRDefault="00444780" w:rsidP="00444780">
      <w:pPr>
        <w:pStyle w:val="ListParagraph"/>
        <w:numPr>
          <w:ilvl w:val="2"/>
          <w:numId w:val="4"/>
        </w:numPr>
      </w:pPr>
      <w:r>
        <w:t>Timer</w:t>
      </w:r>
    </w:p>
    <w:p w14:paraId="501B75EB" w14:textId="1C464713" w:rsidR="00C925E5" w:rsidRPr="003E5C7B" w:rsidRDefault="00444780" w:rsidP="00444780">
      <w:pPr>
        <w:pStyle w:val="ListParagraph"/>
        <w:numPr>
          <w:ilvl w:val="2"/>
          <w:numId w:val="4"/>
        </w:numPr>
      </w:pPr>
      <w:r>
        <w:t>10% sucrose solution (e.g. sugar or honey and water)</w:t>
      </w:r>
      <w:r w:rsidR="00C925E5">
        <w:t xml:space="preserve"> </w:t>
      </w:r>
    </w:p>
    <w:p w14:paraId="4504A0EA" w14:textId="77777777" w:rsidR="00C925E5" w:rsidRPr="00DB6799" w:rsidRDefault="00C925E5" w:rsidP="00C925E5">
      <w:pPr>
        <w:rPr>
          <w:b/>
          <w:bCs/>
        </w:rPr>
      </w:pPr>
    </w:p>
    <w:p w14:paraId="5D9DFF9B" w14:textId="77777777" w:rsidR="00C925E5" w:rsidRDefault="00C925E5" w:rsidP="00C925E5">
      <w:pPr>
        <w:pStyle w:val="Heading1"/>
        <w:numPr>
          <w:ilvl w:val="0"/>
          <w:numId w:val="1"/>
        </w:numPr>
        <w:tabs>
          <w:tab w:val="num" w:pos="360"/>
        </w:tabs>
        <w:ind w:left="0" w:firstLine="0"/>
      </w:pPr>
      <w:r>
        <w:lastRenderedPageBreak/>
        <w:t>Procedure</w:t>
      </w:r>
    </w:p>
    <w:p w14:paraId="1163CBE8" w14:textId="77777777" w:rsidR="00C925E5" w:rsidRPr="00DB6799" w:rsidRDefault="00C925E5" w:rsidP="00C925E5">
      <w:pPr>
        <w:pStyle w:val="ListParagraph"/>
        <w:numPr>
          <w:ilvl w:val="1"/>
          <w:numId w:val="1"/>
        </w:numPr>
        <w:rPr>
          <w:b/>
          <w:bCs/>
        </w:rPr>
      </w:pPr>
      <w:r>
        <w:rPr>
          <w:b/>
          <w:bCs/>
        </w:rPr>
        <w:t>T</w:t>
      </w:r>
      <w:r w:rsidRPr="00DB6799">
        <w:rPr>
          <w:b/>
          <w:bCs/>
        </w:rPr>
        <w:t xml:space="preserve">est mosquitoes  </w:t>
      </w:r>
    </w:p>
    <w:p w14:paraId="727B6DD4" w14:textId="01D05D00" w:rsidR="00444780" w:rsidRDefault="00C925E5" w:rsidP="00C925E5">
      <w:pPr>
        <w:pStyle w:val="ListParagraph"/>
        <w:numPr>
          <w:ilvl w:val="2"/>
          <w:numId w:val="1"/>
        </w:numPr>
      </w:pPr>
      <w:r>
        <w:t xml:space="preserve"> Use </w:t>
      </w:r>
      <w:r w:rsidR="00444780">
        <w:t>5</w:t>
      </w:r>
      <w:r>
        <w:t>-to-</w:t>
      </w:r>
      <w:r w:rsidR="00444780">
        <w:t>8</w:t>
      </w:r>
      <w:r>
        <w:t xml:space="preserve">-day-old </w:t>
      </w:r>
      <w:r w:rsidR="00444780">
        <w:t xml:space="preserve">nulliparous </w:t>
      </w:r>
      <w:r>
        <w:t xml:space="preserve">non-blood fed female </w:t>
      </w:r>
      <w:r w:rsidRPr="00954A2F">
        <w:rPr>
          <w:i/>
          <w:iCs/>
        </w:rPr>
        <w:t>Anopheles</w:t>
      </w:r>
      <w:r>
        <w:t xml:space="preserve"> mosquitoes. Mosquitoes should be </w:t>
      </w:r>
      <w:r w:rsidR="00444780">
        <w:t>sugar starved for a minimum of 6 hours before exposure (the exact starvation period should be recorded)</w:t>
      </w:r>
      <w:r>
        <w:t xml:space="preserve">. Mosquitoes should be well categorised lab strains with respect to insecticide susceptibility </w:t>
      </w:r>
      <w:r>
        <w:fldChar w:fldCharType="begin" w:fldLock="1"/>
      </w:r>
      <w:r>
        <w:instrText>ADDIN CSL_CITATION {"citationItems":[{"id":"ITEM-1","itemData":{"DOI":"10.20944/preprints202203.0345.v1","author":[{"dropping-particle":"","family":"Lees","given":"Rosemary S","non-dropping-particle":"","parse-names":false,"suffix":""},{"dropping-particle":"","family":"Armistead","given":"Jennifer S","non-dropping-particle":"","parse-names":false,"suffix":""},{"dropping-particle":"","family":"Azizi","given":"Salum","non-dropping-particle":"","parse-names":false,"suffix":""},{"dropping-particle":"","family":"Constant","given":"Edi","non-dropping-particle":"","parse-names":false,"suffix":""},{"dropping-particle":"","family":"Diabaté","given":"Abdoulaye","non-dropping-particle":"","parse-names":false,"suffix":""},{"dropping-particle":"","family":"Fornadel","given":"Christen","non-dropping-particle":"","parse-names":false,"suffix":""},{"dropping-particle":"","family":"Gimnig","given":"John E","non-dropping-particle":"","parse-names":false,"suffix":""},{"dropping-particle":"","family":"Hemingway","given":"Janet","non-dropping-particle":"","parse-names":false,"suffix":""},{"dropping-particle":"","family":"Impoinvil","given":"Daniel","non-dropping-particle":"","parse-names":false,"suffix":""},{"dropping-particle":"","family":"Irish","given":"Seth R","non-dropping-particle":"","parse-names":false,"suffix":""},{"dropping-particle":"","family":"Kisinza","given":"William","non-dropping-particle":"","parse-names":false,"suffix":""},{"dropping-particle":"","family":"Lissenden","given":"Natalie","non-dropping-particle":"","parse-names":false,"suffix":""},{"dropping-particle":"","family":"Mawejje","given":"Henry D","non-dropping-particle":"","parse-names":false,"suffix":""},{"dropping-particle":"","family":"Messenger","given":"Louisa A","non-dropping-particle":"","parse-names":false,"suffix":""},{"dropping-particle":"","family":"Moore","given":"Sarah","non-dropping-particle":"","parse-names":false,"suffix":""},{"dropping-particle":"","family":"Ngufor","given":"Corine","non-dropping-particle":"","parse-names":false,"suffix":""},{"dropping-particle":"","family":"Oxborough","given":"Richard","non-dropping-particle":"","parse-names":false,"suffix":""}],"id":"ITEM-1","issue":"March","issued":{"date-parts":[["2022"]]},"title":"Strain Characterisation for Measuring Bioefficacy of ITNs Treated with Two Active Ingredients ( Dual-AI ITNs ): Develop- ing a Robust Protocol by Building Consensus","type":"article-journal"},"uris":["http://www.mendeley.com/documents/?uuid=1937bcac-5668-44a4-b2ad-ced1b5b3b772"]}],"mendeley":{"formattedCitation":"(Lees et al., 2022)","plainTextFormattedCitation":"(Lees et al., 2022)","previouslyFormattedCitation":"(Lees et al., 2022)"},"properties":{"noteIndex":0},"schema":"https://github.com/citation-style-language/schema/raw/master/csl-citation.json"}</w:instrText>
      </w:r>
      <w:r>
        <w:fldChar w:fldCharType="separate"/>
      </w:r>
      <w:r w:rsidRPr="00694F57">
        <w:rPr>
          <w:noProof/>
        </w:rPr>
        <w:t>(Lees et al., 2022)</w:t>
      </w:r>
      <w:r>
        <w:fldChar w:fldCharType="end"/>
      </w:r>
      <w:r>
        <w:t xml:space="preserve">. </w:t>
      </w:r>
      <w:r w:rsidR="00444780">
        <w:t>New IG1 and IG2 should be used to characterise strains prior to testing as these will not be used for daily controls.</w:t>
      </w:r>
    </w:p>
    <w:p w14:paraId="3C923AA7" w14:textId="402F5277" w:rsidR="00C925E5" w:rsidRDefault="00C925E5" w:rsidP="00C925E5">
      <w:pPr>
        <w:pStyle w:val="ListParagraph"/>
        <w:numPr>
          <w:ilvl w:val="2"/>
          <w:numId w:val="1"/>
        </w:numPr>
      </w:pPr>
      <w:r>
        <w:t xml:space="preserve">F0 adults collected from larval breeding sites should only be used when lab strains are unavailable and should follow the same insecticide resistance characterisation methods as lab strains (see Section 6. Deviations from standard protocol). </w:t>
      </w:r>
    </w:p>
    <w:p w14:paraId="50E0FB6C" w14:textId="1BE0AD66" w:rsidR="00C925E5" w:rsidRDefault="00C925E5" w:rsidP="00C925E5">
      <w:pPr>
        <w:pStyle w:val="ListParagraph"/>
        <w:numPr>
          <w:ilvl w:val="2"/>
          <w:numId w:val="1"/>
        </w:numPr>
      </w:pPr>
      <w:r>
        <w:t xml:space="preserve"> A pyrethroid-susceptible strain should be used to monitor the durability of the </w:t>
      </w:r>
      <w:r w:rsidR="00444780">
        <w:t>pyrethroid insecticide, and a pyrethroid-resistant strain should be used to monitor the durability of the CFP</w:t>
      </w:r>
      <w:r>
        <w:t xml:space="preserve"> </w:t>
      </w:r>
      <w:r>
        <w:fldChar w:fldCharType="begin" w:fldLock="1"/>
      </w:r>
      <w:r>
        <w:instrText>ADDIN CSL_CITATION {"citationItems":[{"id":"ITEM-1","itemData":{"DOI":"10.20944/preprints202203.0345.v1","author":[{"dropping-particle":"","family":"Lees","given":"Rosemary S","non-dropping-particle":"","parse-names":false,"suffix":""},{"dropping-particle":"","family":"Armistead","given":"Jennifer S","non-dropping-particle":"","parse-names":false,"suffix":""},{"dropping-particle":"","family":"Azizi","given":"Salum","non-dropping-particle":"","parse-names":false,"suffix":""},{"dropping-particle":"","family":"Constant","given":"Edi","non-dropping-particle":"","parse-names":false,"suffix":""},{"dropping-particle":"","family":"Diabaté","given":"Abdoulaye","non-dropping-particle":"","parse-names":false,"suffix":""},{"dropping-particle":"","family":"Fornadel","given":"Christen","non-dropping-particle":"","parse-names":false,"suffix":""},{"dropping-particle":"","family":"Gimnig","given":"John E","non-dropping-particle":"","parse-names":false,"suffix":""},{"dropping-particle":"","family":"Hemingway","given":"Janet","non-dropping-particle":"","parse-names":false,"suffix":""},{"dropping-particle":"","family":"Impoinvil","given":"Daniel","non-dropping-particle":"","parse-names":false,"suffix":""},{"dropping-particle":"","family":"Irish","given":"Seth R","non-dropping-particle":"","parse-names":false,"suffix":""},{"dropping-particle":"","family":"Kisinza","given":"William","non-dropping-particle":"","parse-names":false,"suffix":""},{"dropping-particle":"","family":"Lissenden","given":"Natalie","non-dropping-particle":"","parse-names":false,"suffix":""},{"dropping-particle":"","family":"Mawejje","given":"Henry D","non-dropping-particle":"","parse-names":false,"suffix":""},{"dropping-particle":"","family":"Messenger","given":"Louisa A","non-dropping-particle":"","parse-names":false,"suffix":""},{"dropping-particle":"","family":"Moore","given":"Sarah","non-dropping-particle":"","parse-names":false,"suffix":""},{"dropping-particle":"","family":"Ngufor","given":"Corine","non-dropping-particle":"","parse-names":false,"suffix":""},{"dropping-particle":"","family":"Oxborough","given":"Richard","non-dropping-particle":"","parse-names":false,"suffix":""}],"id":"ITEM-1","issue":"March","issued":{"date-parts":[["2022"]]},"title":"Strain Characterisation for Measuring Bioefficacy of ITNs Treated with Two Active Ingredients ( Dual-AI ITNs ): Develop- ing a Robust Protocol by Building Consensus","type":"article-journal"},"uris":["http://www.mendeley.com/documents/?uuid=1937bcac-5668-44a4-b2ad-ced1b5b3b772"]}],"mendeley":{"formattedCitation":"(Lees et al., 2022)","plainTextFormattedCitation":"(Lees et al., 2022)","previouslyFormattedCitation":"(Lees et al., 2022)"},"properties":{"noteIndex":0},"schema":"https://github.com/citation-style-language/schema/raw/master/csl-citation.json"}</w:instrText>
      </w:r>
      <w:r>
        <w:fldChar w:fldCharType="separate"/>
      </w:r>
      <w:r w:rsidRPr="00694F57">
        <w:rPr>
          <w:noProof/>
        </w:rPr>
        <w:t>(Lees et al., 2022)</w:t>
      </w:r>
      <w:r>
        <w:fldChar w:fldCharType="end"/>
      </w:r>
      <w:r>
        <w:t>. Where resources allow it, and mosquitoes are available a second resistant and susceptible strain should be tested (see Section 5. Data priority list).</w:t>
      </w:r>
    </w:p>
    <w:p w14:paraId="621A4782" w14:textId="29A4EB19" w:rsidR="00C925E5" w:rsidRDefault="00444780" w:rsidP="00C925E5">
      <w:pPr>
        <w:pStyle w:val="ListParagraph"/>
        <w:numPr>
          <w:ilvl w:val="2"/>
          <w:numId w:val="1"/>
        </w:numPr>
      </w:pPr>
      <w:r>
        <w:t>As testing is conducted overnight, the different strains may need to be conducted on different days.</w:t>
      </w:r>
      <w:r w:rsidR="00C925E5">
        <w:t xml:space="preserve"> Test all mosquito strains being used on that experimental day against each control panel</w:t>
      </w:r>
      <w:r w:rsidR="00C925E5" w:rsidRPr="001808DD">
        <w:t>.</w:t>
      </w:r>
    </w:p>
    <w:p w14:paraId="253627EF" w14:textId="77777777" w:rsidR="00C925E5" w:rsidRDefault="00C925E5" w:rsidP="00C925E5"/>
    <w:p w14:paraId="29A6D045" w14:textId="77777777" w:rsidR="00C925E5" w:rsidRPr="008A4BC7" w:rsidRDefault="00C925E5" w:rsidP="00C925E5">
      <w:pPr>
        <w:pStyle w:val="ListParagraph"/>
        <w:numPr>
          <w:ilvl w:val="1"/>
          <w:numId w:val="1"/>
        </w:numPr>
        <w:rPr>
          <w:b/>
          <w:bCs/>
        </w:rPr>
      </w:pPr>
      <w:r>
        <w:rPr>
          <w:b/>
          <w:bCs/>
        </w:rPr>
        <w:t>Collection and storage of test net samples (for bioefficacy testing</w:t>
      </w:r>
      <w:r>
        <w:rPr>
          <w:rStyle w:val="FootnoteReference"/>
          <w:b/>
          <w:bCs/>
        </w:rPr>
        <w:footnoteReference w:id="2"/>
      </w:r>
      <w:r>
        <w:rPr>
          <w:b/>
          <w:bCs/>
        </w:rPr>
        <w:t xml:space="preserve">) </w:t>
      </w:r>
    </w:p>
    <w:p w14:paraId="7F90B5BD" w14:textId="77777777" w:rsidR="00C925E5" w:rsidRDefault="00C925E5" w:rsidP="00C925E5">
      <w:pPr>
        <w:pStyle w:val="ListParagraph"/>
        <w:numPr>
          <w:ilvl w:val="2"/>
          <w:numId w:val="1"/>
        </w:numPr>
      </w:pPr>
      <w:r>
        <w:t xml:space="preserve"> Whole nets and net pieces may need to be stored before and after testing and may be transported between study sites. When collecting and storing whole net and net samples always ensure they are kept separately to avoid cross-contamination of AIs. Store nets in a cool dry place at &lt;5° out of direct sunlight. </w:t>
      </w:r>
    </w:p>
    <w:p w14:paraId="6D990938" w14:textId="77777777" w:rsidR="00C925E5" w:rsidRDefault="00C925E5" w:rsidP="00C925E5">
      <w:pPr>
        <w:pStyle w:val="ListParagraph"/>
        <w:numPr>
          <w:ilvl w:val="2"/>
          <w:numId w:val="1"/>
        </w:numPr>
      </w:pPr>
      <w:r>
        <w:lastRenderedPageBreak/>
        <w:t>Gloves and a lab coat should always be worn when handling the nets and should be changed between handling nets/ net panels with different AIs to avoid cross-contamination.</w:t>
      </w:r>
    </w:p>
    <w:p w14:paraId="2303A966" w14:textId="77777777" w:rsidR="00C925E5" w:rsidRDefault="00C925E5" w:rsidP="00C925E5">
      <w:pPr>
        <w:pStyle w:val="ListParagraph"/>
        <w:numPr>
          <w:ilvl w:val="2"/>
          <w:numId w:val="1"/>
        </w:numPr>
      </w:pPr>
      <w:r>
        <w:t>Hang sample net on net frame. Net frame should be cleaned between nets as specified by the labs cleaning protocols.</w:t>
      </w:r>
    </w:p>
    <w:p w14:paraId="5E8671DD" w14:textId="7F0B11AA" w:rsidR="00C925E5" w:rsidRDefault="00C925E5" w:rsidP="00C925E5">
      <w:pPr>
        <w:pStyle w:val="ListParagraph"/>
        <w:numPr>
          <w:ilvl w:val="2"/>
          <w:numId w:val="1"/>
        </w:numPr>
      </w:pPr>
      <w:r>
        <w:t xml:space="preserve">Cut </w:t>
      </w:r>
      <w:r w:rsidR="00460B1D">
        <w:t>2</w:t>
      </w:r>
      <w:r>
        <w:t xml:space="preserve"> pieces (</w:t>
      </w:r>
      <w:r w:rsidR="00254236">
        <w:t>2</w:t>
      </w:r>
      <w:r>
        <w:t xml:space="preserve">0 x </w:t>
      </w:r>
      <w:r w:rsidR="00254236">
        <w:t>2</w:t>
      </w:r>
      <w:r>
        <w:t>0cm) from each test net (</w:t>
      </w:r>
      <w:r w:rsidR="00460B1D">
        <w:t>1</w:t>
      </w:r>
      <w:r>
        <w:t xml:space="preserve"> from the roof panel, </w:t>
      </w:r>
      <w:r w:rsidR="00460B1D">
        <w:t>1</w:t>
      </w:r>
      <w:r>
        <w:t xml:space="preserve"> from the side panels). Scissors should be changed or cleaned between cutting net panels with different AIs. Recommended sampling positions can be found in Figure 1.</w:t>
      </w:r>
    </w:p>
    <w:p w14:paraId="66CB13E2" w14:textId="182E7178" w:rsidR="00C925E5" w:rsidRDefault="00C925E5" w:rsidP="00C925E5">
      <w:pPr>
        <w:pStyle w:val="ListParagraph"/>
        <w:numPr>
          <w:ilvl w:val="2"/>
          <w:numId w:val="1"/>
        </w:numPr>
      </w:pPr>
      <w:r>
        <w:t>Label net pieces with the sample position (i.e. 1-</w:t>
      </w:r>
      <w:r w:rsidR="00460B1D">
        <w:t>2</w:t>
      </w:r>
      <w:r>
        <w:t xml:space="preserve">) and net ID on paper labels secured to the corner of each net piece. </w:t>
      </w:r>
    </w:p>
    <w:p w14:paraId="17C6B4D3" w14:textId="77777777" w:rsidR="00C925E5" w:rsidRDefault="00C925E5" w:rsidP="00C925E5">
      <w:pPr>
        <w:pStyle w:val="ListParagraph"/>
        <w:numPr>
          <w:ilvl w:val="2"/>
          <w:numId w:val="1"/>
        </w:numPr>
      </w:pPr>
      <w:r>
        <w:t xml:space="preserve">Wrap each piece individually in aluminium foil and refrigerate. If a refrigerator is not available store nets in a cool dry place at &lt;5°. </w:t>
      </w:r>
    </w:p>
    <w:p w14:paraId="4266227A" w14:textId="1CC2656B" w:rsidR="00C2609D" w:rsidRDefault="00C2609D" w:rsidP="00C2609D">
      <w:pPr>
        <w:pStyle w:val="ListParagraph"/>
        <w:numPr>
          <w:ilvl w:val="2"/>
          <w:numId w:val="1"/>
        </w:numPr>
      </w:pPr>
      <w:r w:rsidRPr="002D1B24">
        <w:rPr>
          <w:i/>
          <w:iCs/>
        </w:rPr>
        <w:t xml:space="preserve">(Note: this is an optional step for teams that wish to combine chemical and biological durability monitoring on the same nets.) </w:t>
      </w:r>
      <w:r>
        <w:t xml:space="preserve">Two samples could be taken adjacent to each bioassay piece for chemical content testing. Cut samples as close as possible to those removed for biological sampling to ensure they are as equivalent as possible (Figure 2). </w:t>
      </w:r>
      <w:r w:rsidR="00782796">
        <w:t xml:space="preserve">The size to be cut </w:t>
      </w:r>
      <w:r w:rsidR="00CB692E">
        <w:t xml:space="preserve">depends on the size requirements for the project’s analysis. </w:t>
      </w:r>
    </w:p>
    <w:p w14:paraId="721C4A95" w14:textId="77777777" w:rsidR="00C2609D" w:rsidRDefault="00C2609D" w:rsidP="00C2609D">
      <w:pPr>
        <w:pStyle w:val="ListParagraph"/>
        <w:ind w:left="1496" w:firstLine="0"/>
      </w:pPr>
    </w:p>
    <w:p w14:paraId="70D5B65D" w14:textId="77777777" w:rsidR="00460B1D" w:rsidRDefault="00460B1D" w:rsidP="00460B1D">
      <w:pPr>
        <w:keepNext/>
      </w:pPr>
      <w:r>
        <w:rPr>
          <w:noProof/>
        </w:rPr>
        <w:drawing>
          <wp:inline distT="0" distB="0" distL="0" distR="0" wp14:anchorId="5764C7F1" wp14:editId="3ABC7FAF">
            <wp:extent cx="5920896" cy="2318658"/>
            <wp:effectExtent l="0" t="0" r="381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9127" cy="2321881"/>
                    </a:xfrm>
                    <a:prstGeom prst="rect">
                      <a:avLst/>
                    </a:prstGeom>
                    <a:noFill/>
                  </pic:spPr>
                </pic:pic>
              </a:graphicData>
            </a:graphic>
          </wp:inline>
        </w:drawing>
      </w:r>
    </w:p>
    <w:p w14:paraId="3D13AF76" w14:textId="573C99DF" w:rsidR="00C925E5" w:rsidRDefault="00460B1D" w:rsidP="00460B1D">
      <w:pPr>
        <w:pStyle w:val="Caption"/>
      </w:pPr>
      <w:r>
        <w:t xml:space="preserve">Figure </w:t>
      </w:r>
      <w:r>
        <w:fldChar w:fldCharType="begin"/>
      </w:r>
      <w:r>
        <w:instrText xml:space="preserve"> SEQ Figure \* ARABIC </w:instrText>
      </w:r>
      <w:r>
        <w:fldChar w:fldCharType="separate"/>
      </w:r>
      <w:r w:rsidR="00A04A3C">
        <w:rPr>
          <w:noProof/>
        </w:rPr>
        <w:t>1</w:t>
      </w:r>
      <w:r>
        <w:fldChar w:fldCharType="end"/>
      </w:r>
      <w:r>
        <w:t xml:space="preserve">. Recommended sampling position of net pieces from dual-AI CFP bednet, when the net is treated with the AIs all over. The lower 25cm of the net should not be sampled as it is likely to have been exposed to abrasion from </w:t>
      </w:r>
      <w:r>
        <w:lastRenderedPageBreak/>
        <w:t>being tucked under a bed. One sample should be taken from the net roof panel and one sample should be taken from the net side panels. Image adapted from (WHO, 2011).</w:t>
      </w:r>
    </w:p>
    <w:p w14:paraId="7C49AFE5" w14:textId="77777777" w:rsidR="00ED3583" w:rsidRDefault="00ED3583" w:rsidP="00ED3583"/>
    <w:p w14:paraId="65234B7C" w14:textId="77777777" w:rsidR="00A04A3C" w:rsidRDefault="00372EE0" w:rsidP="00A04A3C">
      <w:pPr>
        <w:keepNext/>
      </w:pPr>
      <w:r>
        <w:rPr>
          <w:noProof/>
        </w:rPr>
        <w:drawing>
          <wp:inline distT="0" distB="0" distL="0" distR="0" wp14:anchorId="12417528" wp14:editId="20D433BC">
            <wp:extent cx="5791200" cy="22700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4739" cy="2271448"/>
                    </a:xfrm>
                    <a:prstGeom prst="rect">
                      <a:avLst/>
                    </a:prstGeom>
                    <a:noFill/>
                  </pic:spPr>
                </pic:pic>
              </a:graphicData>
            </a:graphic>
          </wp:inline>
        </w:drawing>
      </w:r>
    </w:p>
    <w:p w14:paraId="0E7107AA" w14:textId="6CE0D5AC" w:rsidR="00ED3583" w:rsidRPr="00ED3583" w:rsidRDefault="00A04A3C" w:rsidP="00A04A3C">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w:t>
      </w:r>
      <w:r w:rsidRPr="004F629C">
        <w:t xml:space="preserve">Suggested sampling position of net pieces from bednet for performing biological and chemical analysis on the same net. The lower 25cm of the net should not be sampled as it is likely to have been exposed to abrasion from being tucked under </w:t>
      </w:r>
      <w:r w:rsidR="009D5120" w:rsidRPr="000B0552">
        <w:t>a bed. Two samples should be taken from the net roof panel and t</w:t>
      </w:r>
      <w:r w:rsidR="009D5120">
        <w:t>wo samples should be taken from the net side panels for bioassays. Two samples should be taken adjacent to each bioassay piece for chemical content testing. Image adapted from (WHO, 2011).</w:t>
      </w:r>
    </w:p>
    <w:p w14:paraId="7184B032" w14:textId="4DCC5337" w:rsidR="00C925E5" w:rsidRDefault="00C925E5" w:rsidP="00C925E5">
      <w:pPr>
        <w:pStyle w:val="ListParagraph"/>
        <w:ind w:left="1728" w:firstLine="0"/>
      </w:pPr>
    </w:p>
    <w:p w14:paraId="0A6866CD" w14:textId="77777777" w:rsidR="00C925E5" w:rsidRDefault="00C925E5" w:rsidP="00C925E5">
      <w:pPr>
        <w:pStyle w:val="ListParagraph"/>
        <w:numPr>
          <w:ilvl w:val="1"/>
          <w:numId w:val="1"/>
        </w:numPr>
        <w:rPr>
          <w:b/>
          <w:bCs/>
        </w:rPr>
      </w:pPr>
      <w:r>
        <w:rPr>
          <w:b/>
          <w:bCs/>
        </w:rPr>
        <w:t xml:space="preserve">Control net samples. </w:t>
      </w:r>
      <w:r w:rsidRPr="008A4BC7">
        <w:rPr>
          <w:b/>
          <w:bCs/>
        </w:rPr>
        <w:t xml:space="preserve"> </w:t>
      </w:r>
    </w:p>
    <w:p w14:paraId="623C8B08" w14:textId="77777777" w:rsidR="00C925E5" w:rsidRDefault="00C925E5" w:rsidP="00C925E5">
      <w:pPr>
        <w:pStyle w:val="ListParagraph"/>
        <w:numPr>
          <w:ilvl w:val="2"/>
          <w:numId w:val="1"/>
        </w:numPr>
      </w:pPr>
      <w:r>
        <w:t>Gloves and a lab coat should always be worn when handling the nets and should be changed between handling different nets/net panels with different AIs to avoid cross-contamination.</w:t>
      </w:r>
    </w:p>
    <w:p w14:paraId="47AE9376" w14:textId="77777777" w:rsidR="00C925E5" w:rsidRDefault="00C925E5" w:rsidP="00C925E5">
      <w:pPr>
        <w:pStyle w:val="ListParagraph"/>
        <w:numPr>
          <w:ilvl w:val="2"/>
          <w:numId w:val="1"/>
        </w:numPr>
      </w:pPr>
      <w:r>
        <w:t>Control nets should be aired but unwashed. Air new nets away from direct sunlight for a minimum of 7-days before testing.</w:t>
      </w:r>
    </w:p>
    <w:p w14:paraId="0F5C02BE" w14:textId="41E295F5" w:rsidR="00C925E5" w:rsidRDefault="00254236" w:rsidP="00C925E5">
      <w:pPr>
        <w:pStyle w:val="ListParagraph"/>
        <w:numPr>
          <w:ilvl w:val="2"/>
          <w:numId w:val="1"/>
        </w:numPr>
      </w:pPr>
      <w:r>
        <w:t>Two pieces</w:t>
      </w:r>
      <w:r w:rsidR="00C925E5">
        <w:t xml:space="preserve"> of control netting </w:t>
      </w:r>
      <w:r>
        <w:t>are</w:t>
      </w:r>
      <w:r w:rsidR="00C925E5">
        <w:t xml:space="preserve"> needed per assay. However, control pieces should not be used &gt;5 t</w:t>
      </w:r>
      <w:r>
        <w:t>i</w:t>
      </w:r>
      <w:r w:rsidR="00C925E5">
        <w:t>mes, so multiple pieces will be needed.</w:t>
      </w:r>
    </w:p>
    <w:p w14:paraId="57E1E393" w14:textId="77777777" w:rsidR="00C925E5" w:rsidRDefault="00C925E5" w:rsidP="00C925E5">
      <w:pPr>
        <w:pStyle w:val="ListParagraph"/>
        <w:numPr>
          <w:ilvl w:val="3"/>
          <w:numId w:val="1"/>
        </w:numPr>
      </w:pPr>
      <w:r>
        <w:t>Hang net on net frame. Net frame should be cleaned between nets as specified by the lab cleaning protocols.</w:t>
      </w:r>
    </w:p>
    <w:p w14:paraId="0FE47338" w14:textId="18AF2309" w:rsidR="00C925E5" w:rsidRDefault="00C925E5" w:rsidP="00C925E5">
      <w:pPr>
        <w:pStyle w:val="ListParagraph"/>
        <w:numPr>
          <w:ilvl w:val="3"/>
          <w:numId w:val="1"/>
        </w:numPr>
      </w:pPr>
      <w:r>
        <w:t>Cut 10 pieces (</w:t>
      </w:r>
      <w:r w:rsidR="00254236">
        <w:t>2</w:t>
      </w:r>
      <w:r>
        <w:t xml:space="preserve">0 x </w:t>
      </w:r>
      <w:r w:rsidR="00254236">
        <w:t>2</w:t>
      </w:r>
      <w:r>
        <w:t>0cm) from each control net.</w:t>
      </w:r>
    </w:p>
    <w:p w14:paraId="4A24E5A3" w14:textId="77777777" w:rsidR="00C925E5" w:rsidRDefault="00C925E5" w:rsidP="00C925E5">
      <w:pPr>
        <w:pStyle w:val="ListParagraph"/>
        <w:numPr>
          <w:ilvl w:val="3"/>
          <w:numId w:val="1"/>
        </w:numPr>
      </w:pPr>
      <w:r>
        <w:t>Label net pieces with the control net ID on paper labels and secure to the corner of each piece.</w:t>
      </w:r>
    </w:p>
    <w:p w14:paraId="048A8432" w14:textId="77777777" w:rsidR="00C925E5" w:rsidRDefault="00C925E5" w:rsidP="00C925E5">
      <w:pPr>
        <w:pStyle w:val="ListParagraph"/>
        <w:numPr>
          <w:ilvl w:val="3"/>
          <w:numId w:val="1"/>
        </w:numPr>
      </w:pPr>
      <w:r>
        <w:lastRenderedPageBreak/>
        <w:t xml:space="preserve">Wrap each piece individually in aluminium foil and refrigerate. If a refrigerator is not available store nets in a cool dry place at &lt;5°. </w:t>
      </w:r>
    </w:p>
    <w:p w14:paraId="50FE2DCE" w14:textId="00230855" w:rsidR="00C925E5" w:rsidRDefault="00C925E5" w:rsidP="00C925E5">
      <w:pPr>
        <w:pStyle w:val="ListParagraph"/>
        <w:numPr>
          <w:ilvl w:val="2"/>
          <w:numId w:val="1"/>
        </w:numPr>
      </w:pPr>
      <w:r>
        <w:t xml:space="preserve">On each experimental testing day, </w:t>
      </w:r>
      <w:r w:rsidR="00254236">
        <w:t>two</w:t>
      </w:r>
      <w:r>
        <w:t xml:space="preserve"> negative</w:t>
      </w:r>
      <w:r w:rsidR="00FF47D1">
        <w:t xml:space="preserve"> untreated</w:t>
      </w:r>
      <w:r>
        <w:t xml:space="preserve"> control</w:t>
      </w:r>
      <w:r w:rsidR="00254236">
        <w:t>s</w:t>
      </w:r>
      <w:r>
        <w:t xml:space="preserve"> (Table 1) should be tested alongside test nets.</w:t>
      </w:r>
    </w:p>
    <w:p w14:paraId="42302827" w14:textId="77777777" w:rsidR="00C925E5" w:rsidRDefault="00C925E5" w:rsidP="00C925E5">
      <w:pPr>
        <w:pStyle w:val="Caption"/>
        <w:keepNext/>
      </w:pPr>
    </w:p>
    <w:p w14:paraId="4C8144B9" w14:textId="5E672864" w:rsidR="00C925E5" w:rsidRDefault="00C925E5" w:rsidP="00C925E5">
      <w:pPr>
        <w:pStyle w:val="Caption"/>
        <w:keepNext/>
      </w:pPr>
      <w:r>
        <w:t xml:space="preserve">Table </w:t>
      </w:r>
      <w:r>
        <w:fldChar w:fldCharType="begin"/>
      </w:r>
      <w:r>
        <w:instrText xml:space="preserve"> SEQ Table \* ARABIC </w:instrText>
      </w:r>
      <w:r>
        <w:fldChar w:fldCharType="separate"/>
      </w:r>
      <w:r w:rsidR="00200F6B">
        <w:rPr>
          <w:noProof/>
        </w:rPr>
        <w:t>1</w:t>
      </w:r>
      <w:r>
        <w:fldChar w:fldCharType="end"/>
      </w:r>
      <w:r>
        <w:t>. Specifications of control nets.</w:t>
      </w:r>
    </w:p>
    <w:tbl>
      <w:tblPr>
        <w:tblStyle w:val="TableGrid"/>
        <w:tblW w:w="0" w:type="auto"/>
        <w:tblInd w:w="360" w:type="dxa"/>
        <w:tblLook w:val="04A0" w:firstRow="1" w:lastRow="0" w:firstColumn="1" w:lastColumn="0" w:noHBand="0" w:noVBand="1"/>
      </w:tblPr>
      <w:tblGrid>
        <w:gridCol w:w="2612"/>
        <w:gridCol w:w="6044"/>
      </w:tblGrid>
      <w:tr w:rsidR="00C925E5" w:rsidRPr="00222260" w14:paraId="094BBAA3" w14:textId="77777777" w:rsidTr="005E13A2">
        <w:tc>
          <w:tcPr>
            <w:tcW w:w="2612" w:type="dxa"/>
            <w:vAlign w:val="center"/>
          </w:tcPr>
          <w:p w14:paraId="16363DE8" w14:textId="77777777" w:rsidR="00C925E5" w:rsidRPr="00222260" w:rsidRDefault="00C925E5" w:rsidP="005E13A2">
            <w:pPr>
              <w:rPr>
                <w:b/>
                <w:bCs/>
                <w:sz w:val="20"/>
                <w:szCs w:val="20"/>
              </w:rPr>
            </w:pPr>
            <w:r w:rsidRPr="00222260">
              <w:rPr>
                <w:b/>
                <w:bCs/>
                <w:sz w:val="20"/>
                <w:szCs w:val="20"/>
              </w:rPr>
              <w:t>Net Type</w:t>
            </w:r>
          </w:p>
        </w:tc>
        <w:tc>
          <w:tcPr>
            <w:tcW w:w="6044" w:type="dxa"/>
            <w:vAlign w:val="center"/>
          </w:tcPr>
          <w:p w14:paraId="39F1B8CF" w14:textId="77777777" w:rsidR="00C925E5" w:rsidRPr="00222260" w:rsidRDefault="00C925E5" w:rsidP="005E13A2">
            <w:pPr>
              <w:rPr>
                <w:b/>
                <w:bCs/>
                <w:sz w:val="20"/>
                <w:szCs w:val="20"/>
              </w:rPr>
            </w:pPr>
            <w:r w:rsidRPr="00222260">
              <w:rPr>
                <w:b/>
                <w:bCs/>
                <w:sz w:val="20"/>
                <w:szCs w:val="20"/>
              </w:rPr>
              <w:t>Description</w:t>
            </w:r>
          </w:p>
        </w:tc>
      </w:tr>
      <w:tr w:rsidR="00C925E5" w:rsidRPr="00222260" w14:paraId="42322593" w14:textId="77777777" w:rsidTr="005E13A2">
        <w:tc>
          <w:tcPr>
            <w:tcW w:w="2612" w:type="dxa"/>
            <w:vAlign w:val="center"/>
          </w:tcPr>
          <w:p w14:paraId="3943C619" w14:textId="77777777" w:rsidR="00C925E5" w:rsidRPr="00222260" w:rsidRDefault="00C925E5" w:rsidP="005E13A2">
            <w:pPr>
              <w:rPr>
                <w:sz w:val="20"/>
                <w:szCs w:val="20"/>
              </w:rPr>
            </w:pPr>
            <w:r w:rsidRPr="00222260">
              <w:rPr>
                <w:sz w:val="20"/>
                <w:szCs w:val="20"/>
              </w:rPr>
              <w:t>Negative control: Untreated net</w:t>
            </w:r>
          </w:p>
        </w:tc>
        <w:tc>
          <w:tcPr>
            <w:tcW w:w="6044" w:type="dxa"/>
            <w:vAlign w:val="center"/>
          </w:tcPr>
          <w:p w14:paraId="78138079" w14:textId="77777777" w:rsidR="00C925E5" w:rsidRPr="00222260" w:rsidRDefault="00C925E5" w:rsidP="005E13A2">
            <w:pPr>
              <w:rPr>
                <w:sz w:val="20"/>
                <w:szCs w:val="20"/>
              </w:rPr>
            </w:pPr>
            <w:r w:rsidRPr="00222260">
              <w:rPr>
                <w:sz w:val="20"/>
                <w:szCs w:val="20"/>
              </w:rPr>
              <w:t xml:space="preserve">Untreated netting of the same material as the test netting (e.g. polypropylene). Record the number of times the net piece has been used and do not use the same piece &gt;5 times. </w:t>
            </w:r>
          </w:p>
          <w:p w14:paraId="2B6179BF" w14:textId="77777777" w:rsidR="00C925E5" w:rsidRDefault="001F4611" w:rsidP="001F4611">
            <w:pPr>
              <w:rPr>
                <w:sz w:val="20"/>
                <w:szCs w:val="20"/>
              </w:rPr>
            </w:pPr>
            <w:r>
              <w:rPr>
                <w:sz w:val="20"/>
                <w:szCs w:val="20"/>
              </w:rPr>
              <w:t>If mortality in the negative control on a particular testing day is &gt;10% (24hours) or &gt;20% (72hours) results should be discarded ad testing repeated. If control mortality for the day is &lt;10% (24hours) or &lt;20% (72hours) the test results should be corrected using Abbott’s formula</w:t>
            </w:r>
            <w:r w:rsidR="00C925E5" w:rsidRPr="00222260">
              <w:rPr>
                <w:sz w:val="20"/>
                <w:szCs w:val="20"/>
                <w:vertAlign w:val="superscript"/>
              </w:rPr>
              <w:footnoteReference w:id="3"/>
            </w:r>
            <w:r w:rsidR="00C925E5">
              <w:rPr>
                <w:sz w:val="20"/>
                <w:szCs w:val="20"/>
              </w:rPr>
              <w:t xml:space="preserve"> </w:t>
            </w:r>
            <w:r w:rsidR="00C925E5">
              <w:rPr>
                <w:sz w:val="20"/>
                <w:szCs w:val="20"/>
              </w:rPr>
              <w:fldChar w:fldCharType="begin" w:fldLock="1"/>
            </w:r>
            <w:r w:rsidR="00C925E5">
              <w:rPr>
                <w:sz w:val="20"/>
                <w:szCs w:val="20"/>
              </w:rPr>
              <w:instrText>ADDIN CSL_CITATION {"citationItems":[{"id":"ITEM-1","itemData":{"ISSN":"8756-971X (Print)","PMID":"3333059","author":[{"dropping-particle":"","family":"Abbott","given":"W S","non-dropping-particle":"","parse-names":false,"suffix":""}],"container-title":"Journal of the American Mosquito Control Association","id":"ITEM-1","issue":"2","issued":{"date-parts":[["1987","6"]]},"language":"eng","page":"302-303","publisher-place":"United States","title":"A method of computing the effectiveness of an insecticide. 1925.","type":"article-journal","volume":"3"},"uris":["http://www.mendeley.com/documents/?uuid=01c9724f-d251-4dcc-b5e6-4d19052488a0"]},{"id":"ITEM-2","itemData":{"author":[{"dropping-particle":"","family":"World Health Organization","given":"","non-dropping-particle":"","parse-names":false,"suffix":""}],"id":"ITEM-2","issued":{"date-parts":[["2013"]]},"title":"Guidelines for laboratory and field-testing of long-lasting insecticidal nets","type":"report"},"uris":["http://www.mendeley.com/documents/?uuid=34987384-84bc-4013-b848-bc68bfa9ff50"]}],"mendeley":{"formattedCitation":"(Abbott, 1987; World Health Organization, 2013)","manualFormatting":"(Abbott, 1987; WHO, 2013)","plainTextFormattedCitation":"(Abbott, 1987; World Health Organization, 2013)","previouslyFormattedCitation":"(Abbott, 1987; World Health Organization, 2013)"},"properties":{"noteIndex":0},"schema":"https://github.com/citation-style-language/schema/raw/master/csl-citation.json"}</w:instrText>
            </w:r>
            <w:r w:rsidR="00C925E5">
              <w:rPr>
                <w:sz w:val="20"/>
                <w:szCs w:val="20"/>
              </w:rPr>
              <w:fldChar w:fldCharType="separate"/>
            </w:r>
            <w:r w:rsidR="00C925E5" w:rsidRPr="001D4F13">
              <w:rPr>
                <w:noProof/>
                <w:sz w:val="20"/>
                <w:szCs w:val="20"/>
              </w:rPr>
              <w:t>(Abbott, 1987; W</w:t>
            </w:r>
            <w:r w:rsidR="00C925E5">
              <w:rPr>
                <w:noProof/>
                <w:sz w:val="20"/>
                <w:szCs w:val="20"/>
              </w:rPr>
              <w:t>HO</w:t>
            </w:r>
            <w:r w:rsidR="00C925E5" w:rsidRPr="001D4F13">
              <w:rPr>
                <w:noProof/>
                <w:sz w:val="20"/>
                <w:szCs w:val="20"/>
              </w:rPr>
              <w:t>, 2013)</w:t>
            </w:r>
            <w:r w:rsidR="00C925E5">
              <w:rPr>
                <w:sz w:val="20"/>
                <w:szCs w:val="20"/>
              </w:rPr>
              <w:fldChar w:fldCharType="end"/>
            </w:r>
            <w:r w:rsidR="00C925E5">
              <w:rPr>
                <w:sz w:val="20"/>
                <w:szCs w:val="20"/>
              </w:rPr>
              <w:t xml:space="preserve">. </w:t>
            </w:r>
          </w:p>
          <w:p w14:paraId="1F34A888" w14:textId="7BD7C0B2" w:rsidR="001F4611" w:rsidRPr="00222260" w:rsidRDefault="001F4611" w:rsidP="001F4611">
            <w:pPr>
              <w:rPr>
                <w:sz w:val="20"/>
                <w:szCs w:val="20"/>
              </w:rPr>
            </w:pPr>
            <w:r>
              <w:rPr>
                <w:sz w:val="20"/>
                <w:szCs w:val="20"/>
              </w:rPr>
              <w:t>If blood-feeding in the negative control on a particular testing day is &lt;50% the results should be discarded and testing repeated.</w:t>
            </w:r>
          </w:p>
        </w:tc>
      </w:tr>
    </w:tbl>
    <w:p w14:paraId="44E8FB61" w14:textId="77777777" w:rsidR="00C925E5" w:rsidRDefault="00C925E5" w:rsidP="00C925E5"/>
    <w:p w14:paraId="39008C3C" w14:textId="1AF6D079" w:rsidR="00C925E5" w:rsidRDefault="00D015DA" w:rsidP="00C925E5">
      <w:pPr>
        <w:pStyle w:val="ListParagraph"/>
        <w:numPr>
          <w:ilvl w:val="1"/>
          <w:numId w:val="1"/>
        </w:numPr>
        <w:rPr>
          <w:b/>
          <w:bCs/>
        </w:rPr>
      </w:pPr>
      <w:r>
        <w:rPr>
          <w:b/>
          <w:bCs/>
        </w:rPr>
        <w:t>Tunnel test setup</w:t>
      </w:r>
      <w:r w:rsidR="00C925E5">
        <w:rPr>
          <w:b/>
          <w:bCs/>
        </w:rPr>
        <w:t>.</w:t>
      </w:r>
    </w:p>
    <w:p w14:paraId="272AEEEA" w14:textId="77777777" w:rsidR="00D015DA" w:rsidRDefault="00D015DA" w:rsidP="00D015DA">
      <w:pPr>
        <w:pStyle w:val="ListParagraph"/>
        <w:numPr>
          <w:ilvl w:val="2"/>
          <w:numId w:val="1"/>
        </w:numPr>
      </w:pPr>
      <w:r>
        <w:t>Gloves and a lab coat should always be worn when handling the nets and should be changed between handling different nets/net panels with different AIs to avoid cross-contamination.</w:t>
      </w:r>
    </w:p>
    <w:p w14:paraId="351C4D4B" w14:textId="77777777" w:rsidR="00D015DA" w:rsidRDefault="00D015DA" w:rsidP="00D015DA">
      <w:pPr>
        <w:pStyle w:val="ListParagraph"/>
        <w:numPr>
          <w:ilvl w:val="2"/>
          <w:numId w:val="1"/>
        </w:numPr>
      </w:pPr>
      <w:r>
        <w:t xml:space="preserve">Clean testing area and equipment as specified by the labs cleaning protocols. </w:t>
      </w:r>
    </w:p>
    <w:p w14:paraId="19CDF843" w14:textId="77777777" w:rsidR="00D015DA" w:rsidRDefault="00D015DA" w:rsidP="00D015DA">
      <w:pPr>
        <w:pStyle w:val="ListParagraph"/>
        <w:numPr>
          <w:ilvl w:val="2"/>
          <w:numId w:val="1"/>
        </w:numPr>
      </w:pPr>
      <w:r>
        <w:t>Prepare test mosquitoes. The numbers of mosquitoes required can be found in Table 4, Section 5. Data priority list). Carefully transfer required mosquitoes to holding containers, 50 mosquitoes per container using an aspirator.</w:t>
      </w:r>
    </w:p>
    <w:p w14:paraId="0DB9D6CB" w14:textId="62557BA9" w:rsidR="00D015DA" w:rsidRDefault="00D015DA" w:rsidP="00D015DA">
      <w:pPr>
        <w:pStyle w:val="ListParagraph"/>
        <w:numPr>
          <w:ilvl w:val="2"/>
          <w:numId w:val="1"/>
        </w:numPr>
      </w:pPr>
      <w:r>
        <w:lastRenderedPageBreak/>
        <w:t>Prepare test and control nets. Cut 9 holes into the 20 x 20 cm net piece (holes 1 cm in diameter; one hole is located at the center of the square net sample, and the other eight are equidistant and located 5cm from the border). Secure the holed net onto the net holder.</w:t>
      </w:r>
    </w:p>
    <w:p w14:paraId="2D71E2EB" w14:textId="77777777" w:rsidR="00D015DA" w:rsidRDefault="00D015DA" w:rsidP="00D015DA">
      <w:pPr>
        <w:pStyle w:val="ListParagraph"/>
        <w:numPr>
          <w:ilvl w:val="2"/>
          <w:numId w:val="1"/>
        </w:numPr>
      </w:pPr>
      <w:r>
        <w:t xml:space="preserve">Test mosquitoes and net samples should be acclimatised to the climatic conditions of the testing room for a minimum of one hour before testing. Remove any knocked-down mosquitoes from holding containers before testing. </w:t>
      </w:r>
    </w:p>
    <w:p w14:paraId="051B1B8E" w14:textId="77777777" w:rsidR="00D015DA" w:rsidRDefault="00D015DA" w:rsidP="00D015DA">
      <w:pPr>
        <w:pStyle w:val="ListParagraph"/>
        <w:numPr>
          <w:ilvl w:val="2"/>
          <w:numId w:val="1"/>
        </w:numPr>
      </w:pPr>
      <w:r>
        <w:t>Assemble the tunnel netted capture cages.</w:t>
      </w:r>
    </w:p>
    <w:p w14:paraId="7BFCC351" w14:textId="77777777" w:rsidR="00D015DA" w:rsidRDefault="00D015DA" w:rsidP="00D015DA">
      <w:pPr>
        <w:pStyle w:val="ListParagraph"/>
        <w:numPr>
          <w:ilvl w:val="2"/>
          <w:numId w:val="1"/>
        </w:numPr>
      </w:pPr>
      <w:r>
        <w:t xml:space="preserve">Place the net sample in its holder into the tunnel, one third along its distance. </w:t>
      </w:r>
    </w:p>
    <w:p w14:paraId="4A97BF1B" w14:textId="0475FE8E" w:rsidR="00C925E5" w:rsidRPr="002A1902" w:rsidRDefault="00D015DA" w:rsidP="00D015DA">
      <w:pPr>
        <w:pStyle w:val="ListParagraph"/>
        <w:numPr>
          <w:ilvl w:val="2"/>
          <w:numId w:val="1"/>
        </w:numPr>
        <w:rPr>
          <w:lang w:val="en-GB"/>
        </w:rPr>
      </w:pPr>
      <w:r>
        <w:t>Prepare and label 8 mosquito collection containers per tunnel, 4 for each compartment (compartment 1 &amp; compartment 2): labelled dead blood-fed, dead unfed, alive blood-fed, alive unfed</w:t>
      </w:r>
      <w:r w:rsidR="00C925E5" w:rsidRPr="002A1902">
        <w:rPr>
          <w:lang w:val="en-GB"/>
        </w:rPr>
        <w:t>.</w:t>
      </w:r>
    </w:p>
    <w:p w14:paraId="5C997ED1" w14:textId="77777777" w:rsidR="00C925E5" w:rsidRPr="002A1902" w:rsidRDefault="00C925E5" w:rsidP="00C925E5">
      <w:pPr>
        <w:pStyle w:val="ListParagraph"/>
        <w:ind w:left="1496" w:firstLine="0"/>
      </w:pPr>
    </w:p>
    <w:p w14:paraId="07A30028" w14:textId="227DBC77" w:rsidR="00C925E5" w:rsidRPr="00D0358C" w:rsidRDefault="00D015DA" w:rsidP="00C925E5">
      <w:pPr>
        <w:pStyle w:val="ListParagraph"/>
        <w:numPr>
          <w:ilvl w:val="1"/>
          <w:numId w:val="1"/>
        </w:numPr>
        <w:rPr>
          <w:b/>
          <w:bCs/>
        </w:rPr>
      </w:pPr>
      <w:r>
        <w:rPr>
          <w:b/>
          <w:bCs/>
        </w:rPr>
        <w:t>Tunnel test procedure</w:t>
      </w:r>
      <w:r w:rsidR="00C925E5">
        <w:rPr>
          <w:b/>
          <w:bCs/>
        </w:rPr>
        <w:t xml:space="preserve">. </w:t>
      </w:r>
    </w:p>
    <w:p w14:paraId="00827531" w14:textId="77777777" w:rsidR="00D015DA" w:rsidRDefault="00D015DA" w:rsidP="00D015DA">
      <w:pPr>
        <w:pStyle w:val="ListParagraph"/>
        <w:numPr>
          <w:ilvl w:val="3"/>
          <w:numId w:val="1"/>
        </w:numPr>
      </w:pPr>
      <w:r>
        <w:t xml:space="preserve">Record the temperature and humidity during testing.  Preferably, continuously with a data logger or alternatively manually at the start and end of tunnel exposure, and the end of the mosquito holding period. </w:t>
      </w:r>
    </w:p>
    <w:p w14:paraId="27D68B9B" w14:textId="77777777" w:rsidR="00D015DA" w:rsidRDefault="00D015DA" w:rsidP="00D015DA">
      <w:pPr>
        <w:pStyle w:val="ListParagraph"/>
        <w:numPr>
          <w:ilvl w:val="3"/>
          <w:numId w:val="1"/>
        </w:numPr>
      </w:pPr>
      <w:r>
        <w:t>Place the animal bait into compartment 2 (the shorter section of the tunnel). Ensure that the selected animal has not been used for testing for at least 2 weeks before this test and that it is placed in a position in the compartment where it will not injure itself.</w:t>
      </w:r>
    </w:p>
    <w:p w14:paraId="6CB672A1" w14:textId="77777777" w:rsidR="00D015DA" w:rsidRDefault="00D015DA" w:rsidP="00D015DA">
      <w:pPr>
        <w:pStyle w:val="ListParagraph"/>
        <w:numPr>
          <w:ilvl w:val="3"/>
          <w:numId w:val="1"/>
        </w:numPr>
      </w:pPr>
      <w:r>
        <w:t xml:space="preserve">Secure the netted capture cages to either end of the tunnel. Ensure the netted cage on compartment 1 (the longer section of the tunnel) has an opening to allow the test mosquitoes to be added. </w:t>
      </w:r>
    </w:p>
    <w:p w14:paraId="2E586E1B" w14:textId="77777777" w:rsidR="00D015DA" w:rsidRDefault="00D015DA" w:rsidP="00D015DA">
      <w:pPr>
        <w:pStyle w:val="ListParagraph"/>
        <w:numPr>
          <w:ilvl w:val="3"/>
          <w:numId w:val="1"/>
        </w:numPr>
      </w:pPr>
      <w:r>
        <w:t>Transfer 50 mosquitoes from the holding container into the netted cage on compartment 1 using an aspirator.</w:t>
      </w:r>
    </w:p>
    <w:p w14:paraId="1184DB5A" w14:textId="77777777" w:rsidR="00D015DA" w:rsidRDefault="00D015DA" w:rsidP="00D015DA">
      <w:pPr>
        <w:pStyle w:val="ListParagraph"/>
        <w:numPr>
          <w:ilvl w:val="3"/>
          <w:numId w:val="1"/>
        </w:numPr>
      </w:pPr>
      <w:r>
        <w:t xml:space="preserve">Expose mosquitoes to the net in the tunnel for 12-15 hours. Record the start and end time of the exposure on the data collection sheet. Testing </w:t>
      </w:r>
      <w:r>
        <w:lastRenderedPageBreak/>
        <w:t>should be conducted in darkness during the ‘night phase’ of the mosquitoes circadian rhythm.</w:t>
      </w:r>
    </w:p>
    <w:p w14:paraId="30DFC17F" w14:textId="57FFA1AB" w:rsidR="00D015DA" w:rsidRDefault="00D015DA" w:rsidP="00D015DA">
      <w:pPr>
        <w:pStyle w:val="ListParagraph"/>
        <w:numPr>
          <w:ilvl w:val="3"/>
          <w:numId w:val="1"/>
        </w:numPr>
      </w:pPr>
      <w:r>
        <w:t xml:space="preserve">At the end of the exposure period, determine the mosquitoes compartment location, mortality and blood-feeding status (Table </w:t>
      </w:r>
      <w:r w:rsidR="005864A9">
        <w:t>2</w:t>
      </w:r>
      <w:r>
        <w:t>). Transfer mosquitoes from the tunnel into their corresponding collection container using an aspirator (i.e. compartment 1 dead blood-fed). Return the animal to its enclosure and ensure it is provided with food and water.</w:t>
      </w:r>
    </w:p>
    <w:p w14:paraId="130EE8A6" w14:textId="77777777" w:rsidR="00D015DA" w:rsidRDefault="00D015DA" w:rsidP="00D015DA">
      <w:pPr>
        <w:pStyle w:val="ListParagraph"/>
        <w:numPr>
          <w:ilvl w:val="3"/>
          <w:numId w:val="1"/>
        </w:numPr>
      </w:pPr>
      <w:r>
        <w:t xml:space="preserve">Ensure mosquito collection containers are correctly labelled with the net sample ID (Net ID and position), test rep, mosquito species, and testing date. </w:t>
      </w:r>
    </w:p>
    <w:p w14:paraId="3DFFF508" w14:textId="77777777" w:rsidR="00D015DA" w:rsidRDefault="00D015DA" w:rsidP="00D015DA">
      <w:pPr>
        <w:pStyle w:val="ListParagraph"/>
        <w:numPr>
          <w:ilvl w:val="3"/>
          <w:numId w:val="1"/>
        </w:numPr>
      </w:pPr>
      <w:r>
        <w:t xml:space="preserve">Provide mosquitoes with a sugar meal (10% sucrose solution soaked onto a relevant substrate such as cotton wool). </w:t>
      </w:r>
    </w:p>
    <w:p w14:paraId="1F680DBF" w14:textId="77777777" w:rsidR="00D015DA" w:rsidRDefault="00D015DA" w:rsidP="00D015DA">
      <w:pPr>
        <w:pStyle w:val="ListParagraph"/>
        <w:numPr>
          <w:ilvl w:val="3"/>
          <w:numId w:val="1"/>
        </w:numPr>
      </w:pPr>
      <w:r>
        <w:t>Record the number of mosquitoes in each holding container (i.e. compartment 1 or compartment 2, dead blood-fed, dead unfed, alive blood-fed, alive unfed).</w:t>
      </w:r>
    </w:p>
    <w:p w14:paraId="75E42A0E" w14:textId="77777777" w:rsidR="00D015DA" w:rsidRDefault="00D015DA" w:rsidP="00D015DA">
      <w:pPr>
        <w:pStyle w:val="ListParagraph"/>
        <w:numPr>
          <w:ilvl w:val="3"/>
          <w:numId w:val="1"/>
        </w:numPr>
      </w:pPr>
      <w:r>
        <w:t>For remaining mosquitoes, record the number dead at 24, 48, and 72 hours from the start of exposure. Remove dead mosquitoes each day to avoid duplicate counting.</w:t>
      </w:r>
    </w:p>
    <w:p w14:paraId="3C24919C" w14:textId="4CBFEC81" w:rsidR="00C925E5" w:rsidRDefault="00D015DA" w:rsidP="00D015DA">
      <w:pPr>
        <w:pStyle w:val="ListParagraph"/>
        <w:numPr>
          <w:ilvl w:val="3"/>
          <w:numId w:val="1"/>
        </w:numPr>
      </w:pPr>
      <w:r>
        <w:t>At the end of testing, ensure mosquitoes are stored correctly (i.e. in individual tubes with silica gel) for future analysis. If mosquitoes are not required for future analysis, discard mosquitoes safely</w:t>
      </w:r>
      <w:r w:rsidR="00C925E5">
        <w:t xml:space="preserve">. </w:t>
      </w:r>
    </w:p>
    <w:p w14:paraId="79E0FFE7" w14:textId="77777777" w:rsidR="00634A9C" w:rsidRDefault="00634A9C" w:rsidP="00634A9C"/>
    <w:p w14:paraId="75A126D6" w14:textId="4F753361" w:rsidR="00BC0CA3" w:rsidRDefault="00BC0CA3" w:rsidP="00BC0CA3">
      <w:pPr>
        <w:pStyle w:val="Caption"/>
        <w:keepNext/>
      </w:pPr>
      <w:r>
        <w:t xml:space="preserve">Table </w:t>
      </w:r>
      <w:r>
        <w:fldChar w:fldCharType="begin"/>
      </w:r>
      <w:r>
        <w:instrText xml:space="preserve"> SEQ Table \* ARABIC </w:instrText>
      </w:r>
      <w:r>
        <w:fldChar w:fldCharType="separate"/>
      </w:r>
      <w:r w:rsidR="00200F6B">
        <w:rPr>
          <w:noProof/>
        </w:rPr>
        <w:t>2</w:t>
      </w:r>
      <w:r>
        <w:fldChar w:fldCharType="end"/>
      </w:r>
      <w:r>
        <w:t>. The definitions used for classifying alive, dead, unfed and blood-fed mosquitoes, adapted from (WHO, 2013).</w:t>
      </w:r>
    </w:p>
    <w:tbl>
      <w:tblPr>
        <w:tblStyle w:val="TableGrid"/>
        <w:tblW w:w="5000" w:type="pct"/>
        <w:jc w:val="center"/>
        <w:tblLook w:val="04A0" w:firstRow="1" w:lastRow="0" w:firstColumn="1" w:lastColumn="0" w:noHBand="0" w:noVBand="1"/>
      </w:tblPr>
      <w:tblGrid>
        <w:gridCol w:w="2405"/>
        <w:gridCol w:w="6611"/>
      </w:tblGrid>
      <w:tr w:rsidR="00634A9C" w:rsidRPr="00634A9C" w14:paraId="0E6BCB69" w14:textId="77777777" w:rsidTr="00851FA8">
        <w:trPr>
          <w:jc w:val="center"/>
        </w:trPr>
        <w:tc>
          <w:tcPr>
            <w:tcW w:w="1334" w:type="pct"/>
            <w:vAlign w:val="center"/>
          </w:tcPr>
          <w:p w14:paraId="66C60B1A" w14:textId="77777777" w:rsidR="00634A9C" w:rsidRPr="00634A9C" w:rsidRDefault="00634A9C" w:rsidP="00634A9C">
            <w:pPr>
              <w:rPr>
                <w:b/>
                <w:bCs/>
                <w:sz w:val="20"/>
                <w:szCs w:val="20"/>
                <w:lang w:val="en-GB"/>
              </w:rPr>
            </w:pPr>
            <w:r w:rsidRPr="00634A9C">
              <w:rPr>
                <w:b/>
                <w:bCs/>
                <w:sz w:val="20"/>
                <w:szCs w:val="20"/>
                <w:lang w:val="en-GB"/>
              </w:rPr>
              <w:t>Mosquito status</w:t>
            </w:r>
          </w:p>
        </w:tc>
        <w:tc>
          <w:tcPr>
            <w:tcW w:w="3666" w:type="pct"/>
            <w:vAlign w:val="center"/>
          </w:tcPr>
          <w:p w14:paraId="56A4E180" w14:textId="77777777" w:rsidR="00634A9C" w:rsidRPr="00634A9C" w:rsidRDefault="00634A9C" w:rsidP="00634A9C">
            <w:pPr>
              <w:rPr>
                <w:b/>
                <w:bCs/>
                <w:sz w:val="20"/>
                <w:szCs w:val="20"/>
                <w:lang w:val="en-GB"/>
              </w:rPr>
            </w:pPr>
            <w:r w:rsidRPr="00634A9C">
              <w:rPr>
                <w:b/>
                <w:bCs/>
                <w:sz w:val="20"/>
                <w:szCs w:val="20"/>
                <w:lang w:val="en-GB"/>
              </w:rPr>
              <w:t>Definition</w:t>
            </w:r>
          </w:p>
        </w:tc>
      </w:tr>
      <w:tr w:rsidR="00634A9C" w:rsidRPr="00634A9C" w14:paraId="164E6EBA" w14:textId="77777777" w:rsidTr="00851FA8">
        <w:trPr>
          <w:jc w:val="center"/>
        </w:trPr>
        <w:tc>
          <w:tcPr>
            <w:tcW w:w="1334" w:type="pct"/>
            <w:vAlign w:val="center"/>
          </w:tcPr>
          <w:p w14:paraId="586741CD" w14:textId="77777777" w:rsidR="00634A9C" w:rsidRPr="00634A9C" w:rsidRDefault="00634A9C" w:rsidP="00634A9C">
            <w:pPr>
              <w:rPr>
                <w:sz w:val="20"/>
                <w:szCs w:val="20"/>
                <w:lang w:val="en-GB"/>
              </w:rPr>
            </w:pPr>
            <w:r w:rsidRPr="00634A9C">
              <w:rPr>
                <w:sz w:val="20"/>
                <w:szCs w:val="20"/>
                <w:lang w:val="en-GB"/>
              </w:rPr>
              <w:t>Alive</w:t>
            </w:r>
          </w:p>
        </w:tc>
        <w:tc>
          <w:tcPr>
            <w:tcW w:w="3666" w:type="pct"/>
            <w:vAlign w:val="center"/>
          </w:tcPr>
          <w:p w14:paraId="0C543A54" w14:textId="77777777" w:rsidR="00634A9C" w:rsidRPr="00634A9C" w:rsidRDefault="00634A9C" w:rsidP="00634A9C">
            <w:pPr>
              <w:rPr>
                <w:sz w:val="20"/>
                <w:szCs w:val="20"/>
                <w:lang w:val="en-GB"/>
              </w:rPr>
            </w:pPr>
            <w:r w:rsidRPr="00634A9C">
              <w:rPr>
                <w:sz w:val="20"/>
                <w:szCs w:val="20"/>
                <w:lang w:val="en-GB"/>
              </w:rPr>
              <w:t>The mosquito is mobile or able to stand or fly in a coordinated manner</w:t>
            </w:r>
          </w:p>
        </w:tc>
      </w:tr>
      <w:tr w:rsidR="00634A9C" w:rsidRPr="00634A9C" w14:paraId="7073CA40" w14:textId="77777777" w:rsidTr="00851FA8">
        <w:trPr>
          <w:jc w:val="center"/>
        </w:trPr>
        <w:tc>
          <w:tcPr>
            <w:tcW w:w="1334" w:type="pct"/>
            <w:vAlign w:val="center"/>
          </w:tcPr>
          <w:p w14:paraId="59FA909D" w14:textId="77777777" w:rsidR="00634A9C" w:rsidRPr="00634A9C" w:rsidRDefault="00634A9C" w:rsidP="00634A9C">
            <w:pPr>
              <w:rPr>
                <w:sz w:val="20"/>
                <w:szCs w:val="20"/>
                <w:lang w:val="en-GB"/>
              </w:rPr>
            </w:pPr>
            <w:r w:rsidRPr="00634A9C">
              <w:rPr>
                <w:sz w:val="20"/>
                <w:szCs w:val="20"/>
                <w:lang w:val="en-GB"/>
              </w:rPr>
              <w:t>Dead</w:t>
            </w:r>
          </w:p>
        </w:tc>
        <w:tc>
          <w:tcPr>
            <w:tcW w:w="3666" w:type="pct"/>
            <w:vAlign w:val="center"/>
          </w:tcPr>
          <w:p w14:paraId="7C8AB5F7" w14:textId="77777777" w:rsidR="00634A9C" w:rsidRPr="00634A9C" w:rsidRDefault="00634A9C" w:rsidP="00634A9C">
            <w:pPr>
              <w:rPr>
                <w:sz w:val="20"/>
                <w:szCs w:val="20"/>
                <w:lang w:val="en-GB"/>
              </w:rPr>
            </w:pPr>
            <w:r w:rsidRPr="00634A9C">
              <w:rPr>
                <w:sz w:val="20"/>
                <w:szCs w:val="20"/>
                <w:lang w:val="en-GB"/>
              </w:rPr>
              <w:t>The mosquito is immobile or unable to stand or take off in a coordinated manner following net exposure</w:t>
            </w:r>
          </w:p>
        </w:tc>
      </w:tr>
      <w:tr w:rsidR="00634A9C" w:rsidRPr="00634A9C" w14:paraId="4601BE51" w14:textId="77777777" w:rsidTr="00851FA8">
        <w:trPr>
          <w:jc w:val="center"/>
        </w:trPr>
        <w:tc>
          <w:tcPr>
            <w:tcW w:w="1334" w:type="pct"/>
            <w:vAlign w:val="center"/>
          </w:tcPr>
          <w:p w14:paraId="2522ED77" w14:textId="77777777" w:rsidR="00634A9C" w:rsidRPr="00634A9C" w:rsidRDefault="00634A9C" w:rsidP="00634A9C">
            <w:pPr>
              <w:rPr>
                <w:sz w:val="20"/>
                <w:szCs w:val="20"/>
                <w:lang w:val="en-GB"/>
              </w:rPr>
            </w:pPr>
            <w:r w:rsidRPr="00634A9C">
              <w:rPr>
                <w:sz w:val="20"/>
                <w:szCs w:val="20"/>
                <w:lang w:val="en-GB"/>
              </w:rPr>
              <w:t>Unfed</w:t>
            </w:r>
          </w:p>
        </w:tc>
        <w:tc>
          <w:tcPr>
            <w:tcW w:w="3666" w:type="pct"/>
            <w:vAlign w:val="center"/>
          </w:tcPr>
          <w:p w14:paraId="47FCBD94" w14:textId="77777777" w:rsidR="00634A9C" w:rsidRPr="00634A9C" w:rsidRDefault="00634A9C" w:rsidP="00634A9C">
            <w:pPr>
              <w:rPr>
                <w:sz w:val="20"/>
                <w:szCs w:val="20"/>
                <w:lang w:val="en-GB"/>
              </w:rPr>
            </w:pPr>
            <w:r w:rsidRPr="00634A9C">
              <w:rPr>
                <w:sz w:val="20"/>
                <w:szCs w:val="20"/>
                <w:lang w:val="en-GB"/>
              </w:rPr>
              <w:t>No blood-meal is visible by eye</w:t>
            </w:r>
          </w:p>
        </w:tc>
      </w:tr>
      <w:tr w:rsidR="00634A9C" w:rsidRPr="00634A9C" w14:paraId="357D1BBC" w14:textId="77777777" w:rsidTr="00851FA8">
        <w:trPr>
          <w:jc w:val="center"/>
        </w:trPr>
        <w:tc>
          <w:tcPr>
            <w:tcW w:w="1334" w:type="pct"/>
            <w:vAlign w:val="center"/>
          </w:tcPr>
          <w:p w14:paraId="4BEF0450" w14:textId="77777777" w:rsidR="00634A9C" w:rsidRPr="00634A9C" w:rsidRDefault="00634A9C" w:rsidP="00634A9C">
            <w:pPr>
              <w:rPr>
                <w:sz w:val="20"/>
                <w:szCs w:val="20"/>
                <w:lang w:val="en-GB"/>
              </w:rPr>
            </w:pPr>
            <w:r w:rsidRPr="00634A9C">
              <w:rPr>
                <w:sz w:val="20"/>
                <w:szCs w:val="20"/>
                <w:lang w:val="en-GB"/>
              </w:rPr>
              <w:t>Blood fed</w:t>
            </w:r>
          </w:p>
        </w:tc>
        <w:tc>
          <w:tcPr>
            <w:tcW w:w="3666" w:type="pct"/>
            <w:vAlign w:val="center"/>
          </w:tcPr>
          <w:p w14:paraId="2B855791" w14:textId="77777777" w:rsidR="00634A9C" w:rsidRPr="00634A9C" w:rsidRDefault="00634A9C" w:rsidP="00634A9C">
            <w:pPr>
              <w:rPr>
                <w:sz w:val="20"/>
                <w:szCs w:val="20"/>
                <w:lang w:val="en-GB"/>
              </w:rPr>
            </w:pPr>
            <w:r w:rsidRPr="00634A9C">
              <w:rPr>
                <w:sz w:val="20"/>
                <w:szCs w:val="20"/>
                <w:lang w:val="en-GB"/>
              </w:rPr>
              <w:t>A partial or complete blood-meal is visible by eye</w:t>
            </w:r>
          </w:p>
        </w:tc>
      </w:tr>
    </w:tbl>
    <w:p w14:paraId="61F2E4F6" w14:textId="77777777" w:rsidR="00C925E5" w:rsidRDefault="00C925E5" w:rsidP="00C925E5"/>
    <w:p w14:paraId="3E46A2A9" w14:textId="7A9A6746" w:rsidR="00C925E5" w:rsidRPr="00401C83" w:rsidRDefault="00BC0CA3" w:rsidP="00C925E5">
      <w:pPr>
        <w:pStyle w:val="ListParagraph"/>
        <w:numPr>
          <w:ilvl w:val="1"/>
          <w:numId w:val="1"/>
        </w:numPr>
        <w:rPr>
          <w:b/>
          <w:bCs/>
        </w:rPr>
      </w:pPr>
      <w:r>
        <w:rPr>
          <w:b/>
          <w:bCs/>
        </w:rPr>
        <w:lastRenderedPageBreak/>
        <w:t>Measured outcomes</w:t>
      </w:r>
      <w:r w:rsidR="00C925E5">
        <w:rPr>
          <w:b/>
          <w:bCs/>
        </w:rPr>
        <w:t xml:space="preserve"> </w:t>
      </w:r>
    </w:p>
    <w:p w14:paraId="4A1DBCE7" w14:textId="77777777" w:rsidR="005864A9" w:rsidRPr="0000255B" w:rsidRDefault="005864A9" w:rsidP="005864A9">
      <w:pPr>
        <w:pStyle w:val="ListParagraph"/>
        <w:numPr>
          <w:ilvl w:val="0"/>
          <w:numId w:val="18"/>
        </w:numPr>
        <w:spacing w:before="0" w:beforeAutospacing="0"/>
        <w:contextualSpacing/>
      </w:pPr>
      <w:r w:rsidRPr="0000255B">
        <w:t>The number of mosquitoes in each compartment (1 &amp; 2) on collection separated by dead blood</w:t>
      </w:r>
      <w:r>
        <w:t>-</w:t>
      </w:r>
      <w:r w:rsidRPr="0000255B">
        <w:t>fed, dead unfed, alive blood</w:t>
      </w:r>
      <w:r>
        <w:t>-</w:t>
      </w:r>
      <w:r w:rsidRPr="0000255B">
        <w:t>fed, alive unfed for each net/tunnel replicate.</w:t>
      </w:r>
    </w:p>
    <w:p w14:paraId="71E4C70D" w14:textId="77777777" w:rsidR="005864A9" w:rsidRPr="0000255B" w:rsidRDefault="005864A9" w:rsidP="005864A9">
      <w:pPr>
        <w:pStyle w:val="ListParagraph"/>
        <w:numPr>
          <w:ilvl w:val="0"/>
          <w:numId w:val="18"/>
        </w:numPr>
        <w:spacing w:before="0" w:beforeAutospacing="0"/>
        <w:contextualSpacing/>
      </w:pPr>
      <w:r w:rsidRPr="0000255B">
        <w:t>The number of mosquitoes dead at 24, 48, and 72hr, separated by their collection compartment (1 &amp; 2) and blood</w:t>
      </w:r>
      <w:r>
        <w:t>-</w:t>
      </w:r>
      <w:r w:rsidRPr="0000255B">
        <w:t>feeding status (unfed or blood</w:t>
      </w:r>
      <w:r>
        <w:t>-</w:t>
      </w:r>
      <w:r w:rsidRPr="0000255B">
        <w:t>fed)</w:t>
      </w:r>
      <w:r>
        <w:t>.</w:t>
      </w:r>
    </w:p>
    <w:p w14:paraId="70B53575" w14:textId="77777777" w:rsidR="005864A9" w:rsidRDefault="005864A9" w:rsidP="005864A9">
      <w:pPr>
        <w:pStyle w:val="ListParagraph"/>
        <w:numPr>
          <w:ilvl w:val="0"/>
          <w:numId w:val="18"/>
        </w:numPr>
        <w:spacing w:before="0" w:beforeAutospacing="0"/>
        <w:contextualSpacing/>
      </w:pPr>
      <w:r w:rsidRPr="0000255B">
        <w:t>Individual data should then be pooled to calculate blood</w:t>
      </w:r>
      <w:r>
        <w:t>-</w:t>
      </w:r>
      <w:r w:rsidRPr="0000255B">
        <w:t>feeding %</w:t>
      </w:r>
      <w:r w:rsidRPr="0000255B">
        <w:rPr>
          <w:rStyle w:val="FootnoteReference"/>
        </w:rPr>
        <w:footnoteReference w:id="4"/>
      </w:r>
      <w:r w:rsidRPr="0000255B">
        <w:t xml:space="preserve">, </w:t>
      </w:r>
      <w:r>
        <w:t>blood-feeding inhibition</w:t>
      </w:r>
      <w:r>
        <w:rPr>
          <w:rStyle w:val="FootnoteReference"/>
        </w:rPr>
        <w:footnoteReference w:id="5"/>
      </w:r>
      <w:r>
        <w:t xml:space="preserve">, </w:t>
      </w:r>
      <w:r w:rsidRPr="0000255B">
        <w:t>immediate mortality%</w:t>
      </w:r>
      <w:r w:rsidRPr="0000255B">
        <w:rPr>
          <w:rStyle w:val="FootnoteReference"/>
        </w:rPr>
        <w:footnoteReference w:id="6"/>
      </w:r>
      <w:r w:rsidRPr="0000255B">
        <w:t>,</w:t>
      </w:r>
      <w:r>
        <w:t xml:space="preserve"> 24-hour mortality%</w:t>
      </w:r>
      <w:r>
        <w:rPr>
          <w:rStyle w:val="FootnoteReference"/>
        </w:rPr>
        <w:footnoteReference w:id="7"/>
      </w:r>
      <w:r>
        <w:t xml:space="preserve"> </w:t>
      </w:r>
      <w:r w:rsidRPr="0000255B">
        <w:t>and 72-hour mortality %</w:t>
      </w:r>
      <w:r w:rsidRPr="0000255B">
        <w:rPr>
          <w:rStyle w:val="FootnoteReference"/>
        </w:rPr>
        <w:footnoteReference w:id="8"/>
      </w:r>
      <w:r w:rsidRPr="0000255B">
        <w:t xml:space="preserve"> for each net/tunnel replicate.</w:t>
      </w:r>
    </w:p>
    <w:p w14:paraId="722B23B4" w14:textId="72D0AD88" w:rsidR="00C925E5" w:rsidRDefault="005864A9" w:rsidP="005864A9">
      <w:pPr>
        <w:pStyle w:val="ListParagraph"/>
        <w:numPr>
          <w:ilvl w:val="0"/>
          <w:numId w:val="18"/>
        </w:numPr>
      </w:pPr>
      <w:r w:rsidRPr="00E83E71">
        <w:t xml:space="preserve">If control </w:t>
      </w:r>
      <w:r>
        <w:t>mortality is &gt;10% or blood-feeding</w:t>
      </w:r>
      <w:r w:rsidRPr="00E83E71">
        <w:t xml:space="preserve"> is &lt;</w:t>
      </w:r>
      <w:r>
        <w:t>5</w:t>
      </w:r>
      <w:r w:rsidRPr="00E83E71">
        <w:t xml:space="preserve">0% </w:t>
      </w:r>
      <w:r>
        <w:t xml:space="preserve">for the day </w:t>
      </w:r>
      <w:r w:rsidRPr="00E83E71">
        <w:t xml:space="preserve">the test results should be </w:t>
      </w:r>
      <w:r>
        <w:t>discarded, and the test repeated</w:t>
      </w:r>
      <w:r w:rsidR="00C925E5">
        <w:t xml:space="preserve">. </w:t>
      </w:r>
    </w:p>
    <w:p w14:paraId="7C05A726" w14:textId="295FAB51" w:rsidR="00C925E5" w:rsidRDefault="00C925E5" w:rsidP="00C925E5"/>
    <w:p w14:paraId="563C0F60" w14:textId="77777777" w:rsidR="005864A9" w:rsidRDefault="005864A9" w:rsidP="00C925E5"/>
    <w:p w14:paraId="53CBD456" w14:textId="77777777" w:rsidR="00C925E5" w:rsidRDefault="00C925E5" w:rsidP="00C925E5">
      <w:pPr>
        <w:pStyle w:val="Heading1"/>
        <w:numPr>
          <w:ilvl w:val="0"/>
          <w:numId w:val="1"/>
        </w:numPr>
        <w:tabs>
          <w:tab w:val="num" w:pos="360"/>
        </w:tabs>
        <w:ind w:left="0" w:firstLine="0"/>
      </w:pPr>
      <w:r>
        <w:t>Data priority list</w:t>
      </w:r>
    </w:p>
    <w:p w14:paraId="4D9DBE3C" w14:textId="4D360ABF" w:rsidR="00C925E5" w:rsidRDefault="00C925E5" w:rsidP="00C925E5">
      <w:pPr>
        <w:pStyle w:val="ListParagraph"/>
        <w:numPr>
          <w:ilvl w:val="0"/>
          <w:numId w:val="5"/>
        </w:numPr>
      </w:pPr>
      <w:r>
        <w:t xml:space="preserve">All testing should be carried out with the same resistant and susceptible strains over time. Where resources allow it, and mosquitoes are available, a second resistant and </w:t>
      </w:r>
      <w:r>
        <w:lastRenderedPageBreak/>
        <w:t>susceptible strain should be tested. However, it is more important to have a full data set with one strain so resources should be prioritized to ensure this before considering testing with secondary strains.</w:t>
      </w:r>
    </w:p>
    <w:p w14:paraId="3797D937" w14:textId="77777777" w:rsidR="00C925E5" w:rsidRDefault="00C925E5" w:rsidP="00C925E5">
      <w:pPr>
        <w:pStyle w:val="ListParagraph"/>
        <w:numPr>
          <w:ilvl w:val="0"/>
          <w:numId w:val="5"/>
        </w:numPr>
      </w:pPr>
      <w:r>
        <w:t>Ad hoc testing with secondary strains when available will provide useful data.</w:t>
      </w:r>
    </w:p>
    <w:p w14:paraId="5774EF84" w14:textId="04EA12B0" w:rsidR="00C925E5" w:rsidRDefault="00C925E5" w:rsidP="00C925E5">
      <w:pPr>
        <w:pStyle w:val="ListParagraph"/>
        <w:numPr>
          <w:ilvl w:val="0"/>
          <w:numId w:val="5"/>
        </w:numPr>
      </w:pPr>
      <w:r>
        <w:t xml:space="preserve">The ideal methodological parameters can be found in Table </w:t>
      </w:r>
      <w:r w:rsidR="005864A9">
        <w:t>3</w:t>
      </w:r>
      <w:r>
        <w:t>. All methodological parameters and deviations from standard testing should be recorded at the time of testing.</w:t>
      </w:r>
    </w:p>
    <w:p w14:paraId="644B3300" w14:textId="77777777" w:rsidR="00C925E5" w:rsidRDefault="00C925E5" w:rsidP="00C925E5"/>
    <w:p w14:paraId="33F06D6E" w14:textId="19697759" w:rsidR="00C925E5" w:rsidRDefault="00C925E5" w:rsidP="00C925E5">
      <w:pPr>
        <w:pStyle w:val="Caption"/>
        <w:keepNext/>
      </w:pPr>
    </w:p>
    <w:p w14:paraId="4B255610" w14:textId="03F8417B" w:rsidR="00200F6B" w:rsidRDefault="00200F6B" w:rsidP="00200F6B">
      <w:pPr>
        <w:pStyle w:val="Caption"/>
        <w:keepNext/>
      </w:pPr>
      <w:r>
        <w:t xml:space="preserve">Table </w:t>
      </w:r>
      <w:r>
        <w:fldChar w:fldCharType="begin"/>
      </w:r>
      <w:r>
        <w:instrText xml:space="preserve"> SEQ Table \* ARABIC </w:instrText>
      </w:r>
      <w:r>
        <w:fldChar w:fldCharType="separate"/>
      </w:r>
      <w:r>
        <w:rPr>
          <w:noProof/>
        </w:rPr>
        <w:t>3</w:t>
      </w:r>
      <w:r>
        <w:fldChar w:fldCharType="end"/>
      </w:r>
      <w:r>
        <w:t>. The number of net samples and mosquitoes required from each strain per test net and for daily controls.</w:t>
      </w:r>
    </w:p>
    <w:tbl>
      <w:tblPr>
        <w:tblStyle w:val="TableGrid"/>
        <w:tblW w:w="0" w:type="auto"/>
        <w:jc w:val="center"/>
        <w:tblLook w:val="04A0" w:firstRow="1" w:lastRow="0" w:firstColumn="1" w:lastColumn="0" w:noHBand="0" w:noVBand="1"/>
      </w:tblPr>
      <w:tblGrid>
        <w:gridCol w:w="3933"/>
        <w:gridCol w:w="982"/>
      </w:tblGrid>
      <w:tr w:rsidR="00200F6B" w:rsidRPr="00200F6B" w14:paraId="3095D2B9" w14:textId="77777777" w:rsidTr="00851FA8">
        <w:trPr>
          <w:trHeight w:val="300"/>
          <w:jc w:val="center"/>
        </w:trPr>
        <w:tc>
          <w:tcPr>
            <w:tcW w:w="0" w:type="auto"/>
            <w:shd w:val="clear" w:color="auto" w:fill="auto"/>
            <w:noWrap/>
            <w:vAlign w:val="center"/>
            <w:hideMark/>
          </w:tcPr>
          <w:p w14:paraId="1FF37791" w14:textId="77777777" w:rsidR="00200F6B" w:rsidRPr="00200F6B" w:rsidRDefault="00200F6B" w:rsidP="00200F6B">
            <w:pPr>
              <w:rPr>
                <w:b/>
                <w:bCs/>
                <w:sz w:val="20"/>
                <w:szCs w:val="20"/>
                <w:lang w:val="en-GB"/>
              </w:rPr>
            </w:pPr>
            <w:r w:rsidRPr="00200F6B">
              <w:rPr>
                <w:b/>
                <w:bCs/>
                <w:sz w:val="20"/>
                <w:szCs w:val="20"/>
                <w:lang w:val="en-GB"/>
              </w:rPr>
              <w:t xml:space="preserve">Parameter </w:t>
            </w:r>
          </w:p>
        </w:tc>
        <w:tc>
          <w:tcPr>
            <w:tcW w:w="0" w:type="auto"/>
            <w:shd w:val="clear" w:color="auto" w:fill="auto"/>
            <w:noWrap/>
            <w:vAlign w:val="center"/>
            <w:hideMark/>
          </w:tcPr>
          <w:p w14:paraId="5A3EA6E7" w14:textId="77777777" w:rsidR="00200F6B" w:rsidRPr="00200F6B" w:rsidRDefault="00200F6B" w:rsidP="00200F6B">
            <w:pPr>
              <w:rPr>
                <w:b/>
                <w:bCs/>
                <w:sz w:val="20"/>
                <w:szCs w:val="20"/>
                <w:lang w:val="en-GB"/>
              </w:rPr>
            </w:pPr>
            <w:r w:rsidRPr="00200F6B">
              <w:rPr>
                <w:b/>
                <w:bCs/>
                <w:sz w:val="20"/>
                <w:szCs w:val="20"/>
                <w:lang w:val="en-GB"/>
              </w:rPr>
              <w:t>Amount</w:t>
            </w:r>
          </w:p>
        </w:tc>
      </w:tr>
      <w:tr w:rsidR="00200F6B" w:rsidRPr="00200F6B" w14:paraId="1D11DB9F" w14:textId="77777777" w:rsidTr="00851FA8">
        <w:trPr>
          <w:trHeight w:val="300"/>
          <w:jc w:val="center"/>
        </w:trPr>
        <w:tc>
          <w:tcPr>
            <w:tcW w:w="0" w:type="auto"/>
            <w:shd w:val="clear" w:color="auto" w:fill="auto"/>
            <w:noWrap/>
            <w:vAlign w:val="center"/>
            <w:hideMark/>
          </w:tcPr>
          <w:p w14:paraId="7EC1BEC6" w14:textId="77777777" w:rsidR="00200F6B" w:rsidRPr="00200F6B" w:rsidRDefault="00200F6B" w:rsidP="00200F6B">
            <w:pPr>
              <w:rPr>
                <w:sz w:val="20"/>
                <w:szCs w:val="20"/>
                <w:lang w:val="en-GB"/>
              </w:rPr>
            </w:pPr>
            <w:r w:rsidRPr="00200F6B">
              <w:rPr>
                <w:sz w:val="20"/>
                <w:szCs w:val="20"/>
                <w:lang w:val="en-GB"/>
              </w:rPr>
              <w:t>CFP roof panel sample</w:t>
            </w:r>
          </w:p>
        </w:tc>
        <w:tc>
          <w:tcPr>
            <w:tcW w:w="0" w:type="auto"/>
            <w:shd w:val="clear" w:color="auto" w:fill="auto"/>
            <w:noWrap/>
            <w:vAlign w:val="center"/>
            <w:hideMark/>
          </w:tcPr>
          <w:p w14:paraId="69C09B47" w14:textId="77777777" w:rsidR="00200F6B" w:rsidRPr="00200F6B" w:rsidRDefault="00200F6B" w:rsidP="00200F6B">
            <w:pPr>
              <w:rPr>
                <w:sz w:val="20"/>
                <w:szCs w:val="20"/>
                <w:lang w:val="en-GB"/>
              </w:rPr>
            </w:pPr>
            <w:r w:rsidRPr="00200F6B">
              <w:rPr>
                <w:sz w:val="20"/>
                <w:szCs w:val="20"/>
                <w:lang w:val="en-GB"/>
              </w:rPr>
              <w:t>1</w:t>
            </w:r>
          </w:p>
        </w:tc>
      </w:tr>
      <w:tr w:rsidR="00200F6B" w:rsidRPr="00200F6B" w14:paraId="24897352" w14:textId="77777777" w:rsidTr="00851FA8">
        <w:trPr>
          <w:trHeight w:val="300"/>
          <w:jc w:val="center"/>
        </w:trPr>
        <w:tc>
          <w:tcPr>
            <w:tcW w:w="0" w:type="auto"/>
            <w:shd w:val="clear" w:color="auto" w:fill="auto"/>
            <w:noWrap/>
            <w:vAlign w:val="center"/>
            <w:hideMark/>
          </w:tcPr>
          <w:p w14:paraId="51231AA8" w14:textId="77777777" w:rsidR="00200F6B" w:rsidRPr="00200F6B" w:rsidRDefault="00200F6B" w:rsidP="00200F6B">
            <w:pPr>
              <w:rPr>
                <w:sz w:val="20"/>
                <w:szCs w:val="20"/>
                <w:lang w:val="en-GB"/>
              </w:rPr>
            </w:pPr>
            <w:r w:rsidRPr="00200F6B">
              <w:rPr>
                <w:sz w:val="20"/>
                <w:szCs w:val="20"/>
                <w:lang w:val="en-GB"/>
              </w:rPr>
              <w:t>CFP side panel sample</w:t>
            </w:r>
          </w:p>
        </w:tc>
        <w:tc>
          <w:tcPr>
            <w:tcW w:w="0" w:type="auto"/>
            <w:shd w:val="clear" w:color="auto" w:fill="auto"/>
            <w:noWrap/>
            <w:vAlign w:val="center"/>
            <w:hideMark/>
          </w:tcPr>
          <w:p w14:paraId="4AC28C34" w14:textId="77777777" w:rsidR="00200F6B" w:rsidRPr="00200F6B" w:rsidRDefault="00200F6B" w:rsidP="00200F6B">
            <w:pPr>
              <w:rPr>
                <w:sz w:val="20"/>
                <w:szCs w:val="20"/>
                <w:lang w:val="en-GB"/>
              </w:rPr>
            </w:pPr>
            <w:r w:rsidRPr="00200F6B">
              <w:rPr>
                <w:sz w:val="20"/>
                <w:szCs w:val="20"/>
                <w:lang w:val="en-GB"/>
              </w:rPr>
              <w:t>1</w:t>
            </w:r>
          </w:p>
        </w:tc>
      </w:tr>
      <w:tr w:rsidR="00200F6B" w:rsidRPr="00200F6B" w14:paraId="0933C2F6" w14:textId="77777777" w:rsidTr="00851FA8">
        <w:trPr>
          <w:trHeight w:val="300"/>
          <w:jc w:val="center"/>
        </w:trPr>
        <w:tc>
          <w:tcPr>
            <w:tcW w:w="0" w:type="auto"/>
            <w:shd w:val="clear" w:color="auto" w:fill="auto"/>
            <w:noWrap/>
            <w:vAlign w:val="center"/>
            <w:hideMark/>
          </w:tcPr>
          <w:p w14:paraId="4819CEC1" w14:textId="77777777" w:rsidR="00200F6B" w:rsidRPr="00200F6B" w:rsidRDefault="00200F6B" w:rsidP="00200F6B">
            <w:pPr>
              <w:rPr>
                <w:sz w:val="20"/>
                <w:szCs w:val="20"/>
                <w:lang w:val="en-GB"/>
              </w:rPr>
            </w:pPr>
            <w:r w:rsidRPr="00200F6B">
              <w:rPr>
                <w:sz w:val="20"/>
                <w:szCs w:val="20"/>
                <w:lang w:val="en-GB"/>
              </w:rPr>
              <w:t xml:space="preserve">Untreated control samples </w:t>
            </w:r>
          </w:p>
        </w:tc>
        <w:tc>
          <w:tcPr>
            <w:tcW w:w="0" w:type="auto"/>
            <w:shd w:val="clear" w:color="auto" w:fill="auto"/>
            <w:noWrap/>
            <w:vAlign w:val="center"/>
            <w:hideMark/>
          </w:tcPr>
          <w:p w14:paraId="211DA446" w14:textId="77777777" w:rsidR="00200F6B" w:rsidRPr="00200F6B" w:rsidRDefault="00200F6B" w:rsidP="00200F6B">
            <w:pPr>
              <w:rPr>
                <w:sz w:val="20"/>
                <w:szCs w:val="20"/>
                <w:lang w:val="en-GB"/>
              </w:rPr>
            </w:pPr>
            <w:r w:rsidRPr="00200F6B">
              <w:rPr>
                <w:sz w:val="20"/>
                <w:szCs w:val="20"/>
                <w:lang w:val="en-GB"/>
              </w:rPr>
              <w:t>2</w:t>
            </w:r>
          </w:p>
        </w:tc>
      </w:tr>
      <w:tr w:rsidR="00200F6B" w:rsidRPr="00200F6B" w14:paraId="4B7D2EDC" w14:textId="77777777" w:rsidTr="00851FA8">
        <w:trPr>
          <w:trHeight w:val="300"/>
          <w:jc w:val="center"/>
        </w:trPr>
        <w:tc>
          <w:tcPr>
            <w:tcW w:w="0" w:type="auto"/>
            <w:shd w:val="clear" w:color="auto" w:fill="auto"/>
            <w:noWrap/>
            <w:vAlign w:val="center"/>
            <w:hideMark/>
          </w:tcPr>
          <w:p w14:paraId="21CB0D51" w14:textId="77777777" w:rsidR="00200F6B" w:rsidRPr="00200F6B" w:rsidRDefault="00200F6B" w:rsidP="00200F6B">
            <w:pPr>
              <w:rPr>
                <w:sz w:val="20"/>
                <w:szCs w:val="20"/>
                <w:lang w:val="en-GB"/>
              </w:rPr>
            </w:pPr>
            <w:r w:rsidRPr="00200F6B">
              <w:rPr>
                <w:sz w:val="20"/>
                <w:szCs w:val="20"/>
                <w:lang w:val="en-GB"/>
              </w:rPr>
              <w:t>Replicate per panel</w:t>
            </w:r>
          </w:p>
        </w:tc>
        <w:tc>
          <w:tcPr>
            <w:tcW w:w="0" w:type="auto"/>
            <w:shd w:val="clear" w:color="auto" w:fill="auto"/>
            <w:noWrap/>
            <w:vAlign w:val="center"/>
            <w:hideMark/>
          </w:tcPr>
          <w:p w14:paraId="05CAADE0" w14:textId="77777777" w:rsidR="00200F6B" w:rsidRPr="00200F6B" w:rsidRDefault="00200F6B" w:rsidP="00200F6B">
            <w:pPr>
              <w:rPr>
                <w:sz w:val="20"/>
                <w:szCs w:val="20"/>
                <w:lang w:val="en-GB"/>
              </w:rPr>
            </w:pPr>
            <w:r w:rsidRPr="00200F6B">
              <w:rPr>
                <w:sz w:val="20"/>
                <w:szCs w:val="20"/>
                <w:lang w:val="en-GB"/>
              </w:rPr>
              <w:t>1</w:t>
            </w:r>
          </w:p>
        </w:tc>
      </w:tr>
      <w:tr w:rsidR="00200F6B" w:rsidRPr="00200F6B" w14:paraId="4E4A3EE3" w14:textId="77777777" w:rsidTr="00851FA8">
        <w:trPr>
          <w:trHeight w:val="300"/>
          <w:jc w:val="center"/>
        </w:trPr>
        <w:tc>
          <w:tcPr>
            <w:tcW w:w="0" w:type="auto"/>
            <w:shd w:val="clear" w:color="auto" w:fill="auto"/>
            <w:noWrap/>
            <w:vAlign w:val="center"/>
            <w:hideMark/>
          </w:tcPr>
          <w:p w14:paraId="1C7B8883" w14:textId="77777777" w:rsidR="00200F6B" w:rsidRPr="00200F6B" w:rsidRDefault="00200F6B" w:rsidP="00200F6B">
            <w:pPr>
              <w:rPr>
                <w:sz w:val="20"/>
                <w:szCs w:val="20"/>
                <w:lang w:val="en-GB"/>
              </w:rPr>
            </w:pPr>
            <w:r w:rsidRPr="00200F6B">
              <w:rPr>
                <w:sz w:val="20"/>
                <w:szCs w:val="20"/>
                <w:lang w:val="en-GB"/>
              </w:rPr>
              <w:t>Mosquitoes per rep</w:t>
            </w:r>
          </w:p>
        </w:tc>
        <w:tc>
          <w:tcPr>
            <w:tcW w:w="0" w:type="auto"/>
            <w:shd w:val="clear" w:color="auto" w:fill="auto"/>
            <w:noWrap/>
            <w:vAlign w:val="center"/>
            <w:hideMark/>
          </w:tcPr>
          <w:p w14:paraId="4A30D438" w14:textId="77777777" w:rsidR="00200F6B" w:rsidRPr="00200F6B" w:rsidRDefault="00200F6B" w:rsidP="00200F6B">
            <w:pPr>
              <w:rPr>
                <w:sz w:val="20"/>
                <w:szCs w:val="20"/>
                <w:lang w:val="en-GB"/>
              </w:rPr>
            </w:pPr>
            <w:r w:rsidRPr="00200F6B">
              <w:rPr>
                <w:sz w:val="20"/>
                <w:szCs w:val="20"/>
                <w:lang w:val="en-GB"/>
              </w:rPr>
              <w:t>50</w:t>
            </w:r>
          </w:p>
        </w:tc>
      </w:tr>
      <w:tr w:rsidR="00200F6B" w:rsidRPr="00200F6B" w14:paraId="10F47599" w14:textId="77777777" w:rsidTr="00851FA8">
        <w:trPr>
          <w:trHeight w:val="300"/>
          <w:jc w:val="center"/>
        </w:trPr>
        <w:tc>
          <w:tcPr>
            <w:tcW w:w="0" w:type="auto"/>
            <w:shd w:val="clear" w:color="auto" w:fill="auto"/>
            <w:noWrap/>
            <w:vAlign w:val="center"/>
            <w:hideMark/>
          </w:tcPr>
          <w:p w14:paraId="115B5C71" w14:textId="77777777" w:rsidR="00200F6B" w:rsidRPr="00200F6B" w:rsidRDefault="00200F6B" w:rsidP="00200F6B">
            <w:pPr>
              <w:rPr>
                <w:sz w:val="20"/>
                <w:szCs w:val="20"/>
                <w:lang w:val="en-GB"/>
              </w:rPr>
            </w:pPr>
            <w:r w:rsidRPr="00200F6B">
              <w:rPr>
                <w:sz w:val="20"/>
                <w:szCs w:val="20"/>
                <w:lang w:val="en-GB"/>
              </w:rPr>
              <w:t>Mosquito per CFP test net</w:t>
            </w:r>
          </w:p>
        </w:tc>
        <w:tc>
          <w:tcPr>
            <w:tcW w:w="0" w:type="auto"/>
            <w:shd w:val="clear" w:color="auto" w:fill="auto"/>
            <w:noWrap/>
            <w:vAlign w:val="center"/>
            <w:hideMark/>
          </w:tcPr>
          <w:p w14:paraId="78F60395" w14:textId="77777777" w:rsidR="00200F6B" w:rsidRPr="00200F6B" w:rsidRDefault="00200F6B" w:rsidP="00200F6B">
            <w:pPr>
              <w:rPr>
                <w:sz w:val="20"/>
                <w:szCs w:val="20"/>
                <w:lang w:val="en-GB"/>
              </w:rPr>
            </w:pPr>
            <w:r w:rsidRPr="00200F6B">
              <w:rPr>
                <w:sz w:val="20"/>
                <w:szCs w:val="20"/>
                <w:lang w:val="en-GB"/>
              </w:rPr>
              <w:t>100</w:t>
            </w:r>
          </w:p>
        </w:tc>
      </w:tr>
      <w:tr w:rsidR="00200F6B" w:rsidRPr="00200F6B" w14:paraId="55B3A80A" w14:textId="77777777" w:rsidTr="00851FA8">
        <w:trPr>
          <w:trHeight w:val="300"/>
          <w:jc w:val="center"/>
        </w:trPr>
        <w:tc>
          <w:tcPr>
            <w:tcW w:w="0" w:type="auto"/>
            <w:shd w:val="clear" w:color="auto" w:fill="auto"/>
            <w:noWrap/>
            <w:vAlign w:val="center"/>
            <w:hideMark/>
          </w:tcPr>
          <w:p w14:paraId="0D503BD6" w14:textId="77777777" w:rsidR="00200F6B" w:rsidRPr="00200F6B" w:rsidRDefault="00200F6B" w:rsidP="00200F6B">
            <w:pPr>
              <w:rPr>
                <w:sz w:val="20"/>
                <w:szCs w:val="20"/>
                <w:lang w:val="en-GB"/>
              </w:rPr>
            </w:pPr>
            <w:r w:rsidRPr="00200F6B">
              <w:rPr>
                <w:sz w:val="20"/>
                <w:szCs w:val="20"/>
                <w:lang w:val="en-GB"/>
              </w:rPr>
              <w:t>Mosquito per untreated control net (daily)</w:t>
            </w:r>
          </w:p>
        </w:tc>
        <w:tc>
          <w:tcPr>
            <w:tcW w:w="0" w:type="auto"/>
            <w:shd w:val="clear" w:color="auto" w:fill="auto"/>
            <w:noWrap/>
            <w:vAlign w:val="center"/>
            <w:hideMark/>
          </w:tcPr>
          <w:p w14:paraId="5A143EA2" w14:textId="77777777" w:rsidR="00200F6B" w:rsidRPr="00200F6B" w:rsidRDefault="00200F6B" w:rsidP="00200F6B">
            <w:pPr>
              <w:rPr>
                <w:sz w:val="20"/>
                <w:szCs w:val="20"/>
                <w:lang w:val="en-GB"/>
              </w:rPr>
            </w:pPr>
            <w:r w:rsidRPr="00200F6B">
              <w:rPr>
                <w:sz w:val="20"/>
                <w:szCs w:val="20"/>
                <w:lang w:val="en-GB"/>
              </w:rPr>
              <w:t>100</w:t>
            </w:r>
          </w:p>
        </w:tc>
      </w:tr>
      <w:tr w:rsidR="00200F6B" w:rsidRPr="00200F6B" w14:paraId="482A68B5" w14:textId="77777777" w:rsidTr="00851FA8">
        <w:trPr>
          <w:trHeight w:val="300"/>
          <w:jc w:val="center"/>
        </w:trPr>
        <w:tc>
          <w:tcPr>
            <w:tcW w:w="0" w:type="auto"/>
            <w:shd w:val="clear" w:color="auto" w:fill="auto"/>
            <w:noWrap/>
            <w:vAlign w:val="center"/>
            <w:hideMark/>
          </w:tcPr>
          <w:p w14:paraId="684263A5" w14:textId="77777777" w:rsidR="00200F6B" w:rsidRPr="00200F6B" w:rsidRDefault="00200F6B" w:rsidP="00200F6B">
            <w:pPr>
              <w:rPr>
                <w:sz w:val="20"/>
                <w:szCs w:val="20"/>
                <w:lang w:val="en-GB"/>
              </w:rPr>
            </w:pPr>
            <w:r w:rsidRPr="00200F6B">
              <w:rPr>
                <w:sz w:val="20"/>
                <w:szCs w:val="20"/>
                <w:lang w:val="en-GB"/>
              </w:rPr>
              <w:t>Total</w:t>
            </w:r>
          </w:p>
        </w:tc>
        <w:tc>
          <w:tcPr>
            <w:tcW w:w="0" w:type="auto"/>
            <w:shd w:val="clear" w:color="auto" w:fill="auto"/>
            <w:noWrap/>
            <w:vAlign w:val="center"/>
            <w:hideMark/>
          </w:tcPr>
          <w:p w14:paraId="55F58CE1" w14:textId="77777777" w:rsidR="00200F6B" w:rsidRPr="00200F6B" w:rsidRDefault="00200F6B" w:rsidP="00200F6B">
            <w:pPr>
              <w:rPr>
                <w:sz w:val="20"/>
                <w:szCs w:val="20"/>
                <w:lang w:val="en-GB"/>
              </w:rPr>
            </w:pPr>
            <w:r w:rsidRPr="00200F6B">
              <w:rPr>
                <w:sz w:val="20"/>
                <w:szCs w:val="20"/>
                <w:lang w:val="en-GB"/>
              </w:rPr>
              <w:t>200</w:t>
            </w:r>
          </w:p>
        </w:tc>
      </w:tr>
    </w:tbl>
    <w:p w14:paraId="76E4D8FE" w14:textId="77777777" w:rsidR="00C925E5" w:rsidRDefault="00C925E5" w:rsidP="00C925E5"/>
    <w:p w14:paraId="446576A5" w14:textId="77777777" w:rsidR="00C925E5" w:rsidRDefault="00C925E5" w:rsidP="00C925E5"/>
    <w:p w14:paraId="038560DA" w14:textId="77777777" w:rsidR="00C925E5" w:rsidRDefault="00C925E5" w:rsidP="00C925E5">
      <w:pPr>
        <w:pStyle w:val="Heading1"/>
        <w:numPr>
          <w:ilvl w:val="0"/>
          <w:numId w:val="1"/>
        </w:numPr>
        <w:tabs>
          <w:tab w:val="num" w:pos="360"/>
        </w:tabs>
        <w:ind w:left="0" w:firstLine="0"/>
      </w:pPr>
      <w:r>
        <w:t>Deviations from standard protocol</w:t>
      </w:r>
    </w:p>
    <w:p w14:paraId="2EE1348F" w14:textId="77777777" w:rsidR="00C925E5" w:rsidRDefault="00C925E5" w:rsidP="00C925E5">
      <w:pPr>
        <w:pStyle w:val="ListParagraph"/>
        <w:numPr>
          <w:ilvl w:val="0"/>
          <w:numId w:val="6"/>
        </w:numPr>
      </w:pPr>
      <w:r>
        <w:t>All deviations from the standard protocol should be noted in the data collection sheets.</w:t>
      </w:r>
    </w:p>
    <w:p w14:paraId="10AA0F9E" w14:textId="77777777" w:rsidR="00C925E5" w:rsidRDefault="00C925E5" w:rsidP="00C925E5">
      <w:pPr>
        <w:pStyle w:val="ListParagraph"/>
        <w:numPr>
          <w:ilvl w:val="0"/>
          <w:numId w:val="6"/>
        </w:numPr>
      </w:pPr>
      <w:r>
        <w:t xml:space="preserve">When insecticide characterised lab strains are unavailable, wild larval collected mosquitoes could be used. Details on larval collection should be recorded, such as location of sampling sites (including co-ordinates), number of sampling sites, and type of sampling site (e.g. rainwater puddle, permanent water body). The wild </w:t>
      </w:r>
      <w:r>
        <w:lastRenderedPageBreak/>
        <w:t xml:space="preserve">larval collected population should be insecticide characterised using the same method as those used to characterise lab strains </w:t>
      </w:r>
      <w:r>
        <w:fldChar w:fldCharType="begin" w:fldLock="1"/>
      </w:r>
      <w:r>
        <w:instrText>ADDIN CSL_CITATION {"citationItems":[{"id":"ITEM-1","itemData":{"DOI":"10.20944/preprints202203.0345.v1","author":[{"dropping-particle":"","family":"Lees","given":"Rosemary S","non-dropping-particle":"","parse-names":false,"suffix":""},{"dropping-particle":"","family":"Armistead","given":"Jennifer S","non-dropping-particle":"","parse-names":false,"suffix":""},{"dropping-particle":"","family":"Azizi","given":"Salum","non-dropping-particle":"","parse-names":false,"suffix":""},{"dropping-particle":"","family":"Constant","given":"Edi","non-dropping-particle":"","parse-names":false,"suffix":""},{"dropping-particle":"","family":"Diabaté","given":"Abdoulaye","non-dropping-particle":"","parse-names":false,"suffix":""},{"dropping-particle":"","family":"Fornadel","given":"Christen","non-dropping-particle":"","parse-names":false,"suffix":""},{"dropping-particle":"","family":"Gimnig","given":"John E","non-dropping-particle":"","parse-names":false,"suffix":""},{"dropping-particle":"","family":"Hemingway","given":"Janet","non-dropping-particle":"","parse-names":false,"suffix":""},{"dropping-particle":"","family":"Impoinvil","given":"Daniel","non-dropping-particle":"","parse-names":false,"suffix":""},{"dropping-particle":"","family":"Irish","given":"Seth R","non-dropping-particle":"","parse-names":false,"suffix":""},{"dropping-particle":"","family":"Kisinza","given":"William","non-dropping-particle":"","parse-names":false,"suffix":""},{"dropping-particle":"","family":"Lissenden","given":"Natalie","non-dropping-particle":"","parse-names":false,"suffix":""},{"dropping-particle":"","family":"Mawejje","given":"Henry D","non-dropping-particle":"","parse-names":false,"suffix":""},{"dropping-particle":"","family":"Messenger","given":"Louisa A","non-dropping-particle":"","parse-names":false,"suffix":""},{"dropping-particle":"","family":"Moore","given":"Sarah","non-dropping-particle":"","parse-names":false,"suffix":""},{"dropping-particle":"","family":"Ngufor","given":"Corine","non-dropping-particle":"","parse-names":false,"suffix":""},{"dropping-particle":"","family":"Oxborough","given":"Richard","non-dropping-particle":"","parse-names":false,"suffix":""}],"id":"ITEM-1","issue":"March","issued":{"date-parts":[["2022"]]},"title":"Strain Characterisation for Measuring Bioefficacy of ITNs Treated with Two Active Ingredients ( Dual-AI ITNs ): Develop- ing a Robust Protocol by Building Consensus","type":"article-journal"},"uris":["http://www.mendeley.com/documents/?uuid=1937bcac-5668-44a4-b2ad-ced1b5b3b772"]}],"mendeley":{"formattedCitation":"(Lees et al., 2022)","plainTextFormattedCitation":"(Lees et al., 2022)","previouslyFormattedCitation":"(Lees et al., 2022)"},"properties":{"noteIndex":0},"schema":"https://github.com/citation-style-language/schema/raw/master/csl-citation.json"}</w:instrText>
      </w:r>
      <w:r>
        <w:fldChar w:fldCharType="separate"/>
      </w:r>
      <w:r w:rsidRPr="00053416">
        <w:rPr>
          <w:noProof/>
        </w:rPr>
        <w:t>(Lees et al., 2022)</w:t>
      </w:r>
      <w:r>
        <w:fldChar w:fldCharType="end"/>
      </w:r>
      <w:r>
        <w:t>.</w:t>
      </w:r>
    </w:p>
    <w:p w14:paraId="6725E6AE" w14:textId="77777777" w:rsidR="00C925E5" w:rsidRDefault="00C925E5" w:rsidP="00C925E5">
      <w:pPr>
        <w:pStyle w:val="Heading1"/>
        <w:numPr>
          <w:ilvl w:val="0"/>
          <w:numId w:val="1"/>
        </w:numPr>
        <w:tabs>
          <w:tab w:val="num" w:pos="360"/>
        </w:tabs>
        <w:ind w:left="0" w:firstLine="0"/>
      </w:pPr>
      <w:r>
        <w:t xml:space="preserve">Supplementary data </w:t>
      </w:r>
    </w:p>
    <w:p w14:paraId="340F8996" w14:textId="77777777" w:rsidR="00C925E5" w:rsidRDefault="00C925E5" w:rsidP="00C925E5">
      <w:pPr>
        <w:pStyle w:val="ListParagraph"/>
        <w:numPr>
          <w:ilvl w:val="0"/>
          <w:numId w:val="7"/>
        </w:numPr>
      </w:pPr>
      <w:r>
        <w:t>Additional information that should be recorded:</w:t>
      </w:r>
    </w:p>
    <w:p w14:paraId="531E1A4E" w14:textId="77777777" w:rsidR="00C925E5" w:rsidRDefault="00C925E5" w:rsidP="00C925E5">
      <w:pPr>
        <w:pStyle w:val="ListParagraph"/>
        <w:numPr>
          <w:ilvl w:val="1"/>
          <w:numId w:val="7"/>
        </w:numPr>
      </w:pPr>
      <w:r>
        <w:t>Time of testing</w:t>
      </w:r>
    </w:p>
    <w:p w14:paraId="44E401DF" w14:textId="77777777" w:rsidR="00C925E5" w:rsidRDefault="00C925E5" w:rsidP="00C925E5">
      <w:pPr>
        <w:pStyle w:val="ListParagraph"/>
        <w:numPr>
          <w:ilvl w:val="1"/>
          <w:numId w:val="7"/>
        </w:numPr>
      </w:pPr>
      <w:r>
        <w:t>The light-dark rearing cycle of test mosquitoes (including times where possible)</w:t>
      </w:r>
    </w:p>
    <w:p w14:paraId="7A289230" w14:textId="77777777" w:rsidR="00C925E5" w:rsidRPr="00C835A2" w:rsidRDefault="00C925E5" w:rsidP="00C925E5">
      <w:pPr>
        <w:spacing w:before="0" w:beforeAutospacing="0"/>
        <w:rPr>
          <w:noProof/>
          <w:sz w:val="24"/>
          <w:szCs w:val="24"/>
          <w:lang w:eastAsia="en-GB"/>
        </w:rPr>
      </w:pPr>
    </w:p>
    <w:p w14:paraId="017D34E7" w14:textId="77777777" w:rsidR="00C925E5" w:rsidRDefault="00C925E5" w:rsidP="00C925E5">
      <w:pPr>
        <w:pStyle w:val="Heading1"/>
        <w:numPr>
          <w:ilvl w:val="0"/>
          <w:numId w:val="1"/>
        </w:numPr>
        <w:tabs>
          <w:tab w:val="num" w:pos="360"/>
        </w:tabs>
        <w:ind w:left="0" w:firstLine="0"/>
      </w:pPr>
      <w:r>
        <w:t xml:space="preserve">Glossary of terms </w:t>
      </w:r>
    </w:p>
    <w:p w14:paraId="3B631FF7" w14:textId="67ADEFCD" w:rsidR="00C925E5" w:rsidRDefault="00C925E5" w:rsidP="00C925E5">
      <w:pPr>
        <w:pStyle w:val="ListParagraph"/>
        <w:spacing w:before="100" w:line="240" w:lineRule="auto"/>
        <w:ind w:left="629" w:hanging="374"/>
      </w:pPr>
      <w:r>
        <w:t>AI</w:t>
      </w:r>
      <w:r>
        <w:tab/>
      </w:r>
      <w:r>
        <w:tab/>
      </w:r>
      <w:r>
        <w:tab/>
      </w:r>
      <w:r>
        <w:tab/>
      </w:r>
      <w:r>
        <w:tab/>
        <w:t xml:space="preserve">Active ingredient </w:t>
      </w:r>
    </w:p>
    <w:p w14:paraId="16D588E8" w14:textId="70FE319E" w:rsidR="00CA79D0" w:rsidRDefault="00CA79D0" w:rsidP="00C925E5">
      <w:pPr>
        <w:pStyle w:val="ListParagraph"/>
        <w:spacing w:before="100" w:line="240" w:lineRule="auto"/>
        <w:ind w:left="629" w:hanging="374"/>
      </w:pPr>
      <w:r>
        <w:t>CFP</w:t>
      </w:r>
      <w:r>
        <w:tab/>
      </w:r>
      <w:r>
        <w:tab/>
      </w:r>
      <w:r>
        <w:tab/>
      </w:r>
      <w:r>
        <w:tab/>
      </w:r>
      <w:r>
        <w:tab/>
        <w:t>Chlorfenapyr</w:t>
      </w:r>
    </w:p>
    <w:p w14:paraId="64CE1A5A" w14:textId="2D03039A" w:rsidR="00C925E5" w:rsidRDefault="00C925E5" w:rsidP="00CA79D0">
      <w:pPr>
        <w:pStyle w:val="ListParagraph"/>
        <w:spacing w:before="100" w:line="240" w:lineRule="auto"/>
        <w:ind w:left="629" w:hanging="374"/>
      </w:pPr>
      <w:r>
        <w:t>I2I</w:t>
      </w:r>
      <w:r>
        <w:tab/>
      </w:r>
      <w:r>
        <w:tab/>
      </w:r>
      <w:r>
        <w:tab/>
      </w:r>
      <w:r>
        <w:tab/>
      </w:r>
      <w:r>
        <w:tab/>
        <w:t>Innovation 2 Impact</w:t>
      </w:r>
    </w:p>
    <w:p w14:paraId="51D5C8E9" w14:textId="77777777" w:rsidR="00C925E5" w:rsidRDefault="00C925E5" w:rsidP="00C925E5">
      <w:pPr>
        <w:pStyle w:val="ListParagraph"/>
        <w:spacing w:before="100" w:line="240" w:lineRule="auto"/>
        <w:ind w:left="629" w:hanging="374"/>
      </w:pPr>
      <w:r>
        <w:t>ITN</w:t>
      </w:r>
      <w:r>
        <w:tab/>
      </w:r>
      <w:r>
        <w:tab/>
      </w:r>
      <w:r>
        <w:tab/>
      </w:r>
      <w:r>
        <w:tab/>
      </w:r>
      <w:r>
        <w:tab/>
        <w:t>Insecticide-treated net</w:t>
      </w:r>
    </w:p>
    <w:p w14:paraId="5E5336E4" w14:textId="62C27282" w:rsidR="00C925E5" w:rsidRDefault="00C925E5" w:rsidP="00C925E5">
      <w:pPr>
        <w:pStyle w:val="ListParagraph"/>
        <w:spacing w:before="100" w:line="240" w:lineRule="auto"/>
        <w:ind w:left="629" w:hanging="374"/>
      </w:pPr>
      <w:r>
        <w:t>PQ</w:t>
      </w:r>
      <w:r>
        <w:tab/>
      </w:r>
      <w:r>
        <w:tab/>
      </w:r>
      <w:r>
        <w:tab/>
      </w:r>
      <w:r>
        <w:tab/>
      </w:r>
      <w:r>
        <w:tab/>
        <w:t>Prequalification</w:t>
      </w:r>
    </w:p>
    <w:p w14:paraId="58AFC5A8" w14:textId="5CD90D6E" w:rsidR="00CA79D0" w:rsidRDefault="00CA79D0" w:rsidP="00C925E5">
      <w:pPr>
        <w:pStyle w:val="ListParagraph"/>
        <w:spacing w:before="100" w:line="240" w:lineRule="auto"/>
        <w:ind w:left="629" w:hanging="374"/>
      </w:pPr>
      <w:r>
        <w:t>RCT</w:t>
      </w:r>
      <w:r>
        <w:tab/>
      </w:r>
      <w:r>
        <w:tab/>
      </w:r>
      <w:r>
        <w:tab/>
      </w:r>
      <w:r>
        <w:tab/>
        <w:t>Randomised control trial</w:t>
      </w:r>
    </w:p>
    <w:p w14:paraId="396DBF4A" w14:textId="77777777" w:rsidR="00C925E5" w:rsidRDefault="00C925E5" w:rsidP="00C925E5">
      <w:pPr>
        <w:pStyle w:val="ListParagraph"/>
        <w:spacing w:before="100" w:line="240" w:lineRule="auto"/>
        <w:ind w:left="629" w:hanging="374"/>
      </w:pPr>
      <w:r>
        <w:t>SOP</w:t>
      </w:r>
      <w:r>
        <w:tab/>
      </w:r>
      <w:r>
        <w:tab/>
      </w:r>
      <w:r>
        <w:tab/>
      </w:r>
      <w:r>
        <w:tab/>
        <w:t>Standard operating procedure</w:t>
      </w:r>
    </w:p>
    <w:p w14:paraId="42505A64" w14:textId="77777777" w:rsidR="00C925E5" w:rsidRDefault="00C925E5" w:rsidP="00C925E5">
      <w:pPr>
        <w:pStyle w:val="ListParagraph"/>
        <w:spacing w:before="100" w:line="240" w:lineRule="auto"/>
        <w:ind w:left="629" w:hanging="374"/>
      </w:pPr>
      <w:r>
        <w:t>WHO</w:t>
      </w:r>
      <w:r>
        <w:tab/>
      </w:r>
      <w:r>
        <w:tab/>
      </w:r>
      <w:r>
        <w:tab/>
        <w:t>World Health Organisation</w:t>
      </w:r>
    </w:p>
    <w:p w14:paraId="1FA8865F" w14:textId="77777777" w:rsidR="00C925E5" w:rsidRDefault="00C925E5" w:rsidP="00C925E5">
      <w:pPr>
        <w:pStyle w:val="ListParagraph"/>
        <w:spacing w:before="100" w:line="240" w:lineRule="auto"/>
        <w:ind w:left="629" w:hanging="374"/>
      </w:pPr>
    </w:p>
    <w:p w14:paraId="1F37AE66" w14:textId="77777777" w:rsidR="00C925E5" w:rsidRDefault="00C925E5" w:rsidP="00C925E5">
      <w:pPr>
        <w:pStyle w:val="Heading1"/>
        <w:numPr>
          <w:ilvl w:val="0"/>
          <w:numId w:val="1"/>
        </w:numPr>
        <w:tabs>
          <w:tab w:val="num" w:pos="360"/>
        </w:tabs>
        <w:ind w:left="0" w:firstLine="0"/>
      </w:pPr>
      <w:r>
        <w:t xml:space="preserve"> References </w:t>
      </w:r>
    </w:p>
    <w:p w14:paraId="362A4843" w14:textId="77777777" w:rsidR="00C925E5" w:rsidRPr="00053416" w:rsidRDefault="00C925E5" w:rsidP="00C925E5">
      <w:pPr>
        <w:widowControl w:val="0"/>
        <w:autoSpaceDE w:val="0"/>
        <w:autoSpaceDN w:val="0"/>
        <w:adjustRightInd w:val="0"/>
        <w:spacing w:before="260"/>
        <w:ind w:left="480" w:hanging="480"/>
        <w:rPr>
          <w:noProof/>
          <w:szCs w:val="24"/>
        </w:rPr>
      </w:pPr>
      <w:r>
        <w:fldChar w:fldCharType="begin" w:fldLock="1"/>
      </w:r>
      <w:r>
        <w:instrText xml:space="preserve">ADDIN Mendeley Bibliography CSL_BIBLIOGRAPHY </w:instrText>
      </w:r>
      <w:r>
        <w:fldChar w:fldCharType="separate"/>
      </w:r>
      <w:r w:rsidRPr="00053416">
        <w:rPr>
          <w:noProof/>
          <w:szCs w:val="24"/>
        </w:rPr>
        <w:t xml:space="preserve">Abbott, W. S. (1987). A method of computing the effectiveness of an insecticide. 1925. </w:t>
      </w:r>
      <w:r w:rsidRPr="00053416">
        <w:rPr>
          <w:i/>
          <w:iCs/>
          <w:noProof/>
          <w:szCs w:val="24"/>
        </w:rPr>
        <w:t>Journal of the American Mosquito Control Association</w:t>
      </w:r>
      <w:r w:rsidRPr="00053416">
        <w:rPr>
          <w:noProof/>
          <w:szCs w:val="24"/>
        </w:rPr>
        <w:t xml:space="preserve">, </w:t>
      </w:r>
      <w:r w:rsidRPr="00053416">
        <w:rPr>
          <w:i/>
          <w:iCs/>
          <w:noProof/>
          <w:szCs w:val="24"/>
        </w:rPr>
        <w:t>3</w:t>
      </w:r>
      <w:r w:rsidRPr="00053416">
        <w:rPr>
          <w:noProof/>
          <w:szCs w:val="24"/>
        </w:rPr>
        <w:t>(2), 302–303.</w:t>
      </w:r>
    </w:p>
    <w:p w14:paraId="0F22F794" w14:textId="77777777" w:rsidR="00C925E5" w:rsidRPr="00053416" w:rsidRDefault="00C925E5" w:rsidP="00C925E5">
      <w:pPr>
        <w:widowControl w:val="0"/>
        <w:autoSpaceDE w:val="0"/>
        <w:autoSpaceDN w:val="0"/>
        <w:adjustRightInd w:val="0"/>
        <w:spacing w:before="260"/>
        <w:ind w:left="480" w:hanging="480"/>
        <w:rPr>
          <w:noProof/>
          <w:szCs w:val="24"/>
        </w:rPr>
      </w:pPr>
      <w:r w:rsidRPr="00053416">
        <w:rPr>
          <w:noProof/>
          <w:szCs w:val="24"/>
        </w:rPr>
        <w:t xml:space="preserve">Lees, R. S., Armistead, J. S., Azizi, S., Constant, E., Diabaté, A., Fornadel, C., … Oxborough, R. (2022). </w:t>
      </w:r>
      <w:r w:rsidRPr="00053416">
        <w:rPr>
          <w:i/>
          <w:iCs/>
          <w:noProof/>
          <w:szCs w:val="24"/>
        </w:rPr>
        <w:t>Strain Characterisation for Measuring Bioefficacy of ITNs Treated with Two Active Ingredients ( Dual-AI ITNs ): Develop- ing a Robust Protocol by Building Consensus</w:t>
      </w:r>
      <w:r w:rsidRPr="00053416">
        <w:rPr>
          <w:noProof/>
          <w:szCs w:val="24"/>
        </w:rPr>
        <w:t>. (March). https://doi.org/10.20944/preprints202203.0345.v1</w:t>
      </w:r>
    </w:p>
    <w:p w14:paraId="1F055310" w14:textId="77777777" w:rsidR="00C925E5" w:rsidRPr="00053416" w:rsidRDefault="00C925E5" w:rsidP="00C925E5">
      <w:pPr>
        <w:widowControl w:val="0"/>
        <w:autoSpaceDE w:val="0"/>
        <w:autoSpaceDN w:val="0"/>
        <w:adjustRightInd w:val="0"/>
        <w:spacing w:before="260"/>
        <w:ind w:left="480" w:hanging="480"/>
        <w:rPr>
          <w:noProof/>
        </w:rPr>
      </w:pPr>
      <w:r w:rsidRPr="00053416">
        <w:rPr>
          <w:noProof/>
          <w:szCs w:val="24"/>
        </w:rPr>
        <w:lastRenderedPageBreak/>
        <w:t>W</w:t>
      </w:r>
      <w:r>
        <w:rPr>
          <w:noProof/>
          <w:szCs w:val="24"/>
        </w:rPr>
        <w:t>HO</w:t>
      </w:r>
      <w:r w:rsidRPr="00053416">
        <w:rPr>
          <w:noProof/>
          <w:szCs w:val="24"/>
        </w:rPr>
        <w:t xml:space="preserve">. (2013). </w:t>
      </w:r>
      <w:r w:rsidRPr="00053416">
        <w:rPr>
          <w:i/>
          <w:iCs/>
          <w:noProof/>
          <w:szCs w:val="24"/>
        </w:rPr>
        <w:t>Guidelines for laboratory and field-testing of long-lasting insecticidal nets</w:t>
      </w:r>
      <w:r w:rsidRPr="00053416">
        <w:rPr>
          <w:noProof/>
          <w:szCs w:val="24"/>
        </w:rPr>
        <w:t>.</w:t>
      </w:r>
      <w:r>
        <w:rPr>
          <w:noProof/>
          <w:szCs w:val="24"/>
        </w:rPr>
        <w:t xml:space="preserve"> WHO/HTM/NTD/WHOPES/20131. Geneva: World Health Organisation.</w:t>
      </w:r>
    </w:p>
    <w:p w14:paraId="2A5040BD" w14:textId="77777777" w:rsidR="00C925E5" w:rsidRDefault="00C925E5" w:rsidP="00C925E5">
      <w:pPr>
        <w:pStyle w:val="ListParagraph"/>
      </w:pPr>
      <w:r>
        <w:fldChar w:fldCharType="end"/>
      </w:r>
    </w:p>
    <w:bookmarkEnd w:id="0"/>
    <w:p w14:paraId="63D067C7" w14:textId="77777777" w:rsidR="00C925E5" w:rsidRDefault="00C925E5" w:rsidP="00C925E5"/>
    <w:p w14:paraId="2E2C3571" w14:textId="77777777" w:rsidR="00EB0F1D" w:rsidRDefault="00EB0F1D"/>
    <w:sectPr w:rsidR="00EB0F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92DB4" w14:textId="77777777" w:rsidR="00FD675E" w:rsidRDefault="00FD675E" w:rsidP="00C925E5">
      <w:pPr>
        <w:spacing w:before="0" w:line="240" w:lineRule="auto"/>
      </w:pPr>
      <w:r>
        <w:separator/>
      </w:r>
    </w:p>
  </w:endnote>
  <w:endnote w:type="continuationSeparator" w:id="0">
    <w:p w14:paraId="3CEE8625" w14:textId="77777777" w:rsidR="00FD675E" w:rsidRDefault="00FD675E" w:rsidP="00C925E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oto Sans SemBd">
    <w:altName w:val="Calibri"/>
    <w:charset w:val="00"/>
    <w:family w:val="swiss"/>
    <w:pitch w:val="variable"/>
    <w:sig w:usb0="E00002FF" w:usb1="4000001F" w:usb2="08000029" w:usb3="00000000" w:csb0="00000001" w:csb1="00000000"/>
  </w:font>
  <w:font w:name="Noto Sans">
    <w:altName w:val="Noto Sans"/>
    <w:charset w:val="00"/>
    <w:family w:val="swiss"/>
    <w:pitch w:val="variable"/>
    <w:sig w:usb0="E00082FF" w:usb1="400078FF" w:usb2="00000021" w:usb3="00000000" w:csb0="0000019F" w:csb1="00000000"/>
  </w:font>
  <w:font w:name="Noto Sans Light">
    <w:altName w:val="Calibri"/>
    <w:charset w:val="00"/>
    <w:family w:val="swiss"/>
    <w:pitch w:val="variable"/>
    <w:sig w:usb0="E00002FF" w:usb1="4000001F" w:usb2="08000029"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4116" w14:textId="77777777" w:rsidR="00FD675E" w:rsidRDefault="00FD675E" w:rsidP="00C925E5">
      <w:pPr>
        <w:spacing w:before="0" w:line="240" w:lineRule="auto"/>
      </w:pPr>
      <w:r>
        <w:separator/>
      </w:r>
    </w:p>
  </w:footnote>
  <w:footnote w:type="continuationSeparator" w:id="0">
    <w:p w14:paraId="1F36B9A4" w14:textId="77777777" w:rsidR="00FD675E" w:rsidRDefault="00FD675E" w:rsidP="00C925E5">
      <w:pPr>
        <w:spacing w:before="0" w:line="240" w:lineRule="auto"/>
      </w:pPr>
      <w:r>
        <w:continuationSeparator/>
      </w:r>
    </w:p>
  </w:footnote>
  <w:footnote w:id="1">
    <w:p w14:paraId="6A7A63F3" w14:textId="77777777" w:rsidR="00C925E5" w:rsidRDefault="00C925E5" w:rsidP="00C925E5">
      <w:pPr>
        <w:pStyle w:val="FootnoteText"/>
      </w:pPr>
      <w:r>
        <w:rPr>
          <w:rStyle w:val="FootnoteReference"/>
        </w:rPr>
        <w:footnoteRef/>
      </w:r>
      <w:r>
        <w:t xml:space="preserve"> Historical versions of SOPs can be found on the I2I website (</w:t>
      </w:r>
      <w:r w:rsidRPr="002D47EB">
        <w:t>https://innovationtoimpact.org/</w:t>
      </w:r>
      <w:r>
        <w:t>)</w:t>
      </w:r>
    </w:p>
  </w:footnote>
  <w:footnote w:id="2">
    <w:p w14:paraId="74593EDC" w14:textId="77777777" w:rsidR="00C925E5" w:rsidRPr="00B929A1" w:rsidRDefault="00C925E5" w:rsidP="00C925E5">
      <w:pPr>
        <w:pStyle w:val="FootnoteText"/>
        <w:rPr>
          <w:lang w:val="en-GB"/>
        </w:rPr>
      </w:pPr>
      <w:r>
        <w:rPr>
          <w:rStyle w:val="FootnoteReference"/>
        </w:rPr>
        <w:footnoteRef/>
      </w:r>
      <w:r>
        <w:t xml:space="preserve"> The number of sample pieces listed is for conducting the bioefficacy testing specified in this protocol. Additional samples may be required for chemical analysis.</w:t>
      </w:r>
    </w:p>
  </w:footnote>
  <w:footnote w:id="3">
    <w:p w14:paraId="1ECD791B" w14:textId="77777777" w:rsidR="00C925E5" w:rsidRDefault="00C925E5" w:rsidP="00C925E5">
      <w:pPr>
        <w:pStyle w:val="FootnoteText"/>
      </w:pPr>
      <w:r>
        <w:rPr>
          <w:rStyle w:val="FootnoteReference"/>
        </w:rPr>
        <w:footnoteRef/>
      </w:r>
      <w:r>
        <w:t xml:space="preserve"> </w:t>
      </w:r>
      <w:r w:rsidRPr="00EC209E">
        <w:t xml:space="preserve">Abbott’s formula: Adjusted mortality (%) = 100 x (X–Y) / (100–Y), where X is the percentage mortality with the </w:t>
      </w:r>
      <w:r>
        <w:t>test</w:t>
      </w:r>
      <w:r w:rsidRPr="00EC209E">
        <w:t xml:space="preserve"> </w:t>
      </w:r>
      <w:r>
        <w:t>netting</w:t>
      </w:r>
      <w:r w:rsidRPr="00EC209E">
        <w:t>, and Y is the percentage mortality with the untreated control sample</w:t>
      </w:r>
    </w:p>
  </w:footnote>
  <w:footnote w:id="4">
    <w:p w14:paraId="4A9E2720" w14:textId="77777777" w:rsidR="005864A9" w:rsidRDefault="005864A9" w:rsidP="005864A9">
      <w:pPr>
        <w:pStyle w:val="FootnoteText"/>
      </w:pPr>
      <w:r>
        <w:rPr>
          <w:rStyle w:val="FootnoteReference"/>
        </w:rPr>
        <w:footnoteRef/>
      </w:r>
      <w:r>
        <w:t xml:space="preserve"> Blood-feeding (%) = (X/Y) x 100, where X is the total number of blood fed mosquitoes collected from the tunnel and Y in the total number of mosquitoes exposed to the test net in the tunnel.</w:t>
      </w:r>
    </w:p>
  </w:footnote>
  <w:footnote w:id="5">
    <w:p w14:paraId="304FE60B" w14:textId="77777777" w:rsidR="005864A9" w:rsidRDefault="005864A9" w:rsidP="005864A9">
      <w:pPr>
        <w:pStyle w:val="FootnoteText"/>
      </w:pPr>
      <w:r>
        <w:rPr>
          <w:rStyle w:val="FootnoteReference"/>
        </w:rPr>
        <w:footnoteRef/>
      </w:r>
      <w:r>
        <w:t xml:space="preserve"> Blood feeding inhibition (%) = </w:t>
      </w:r>
      <m:oMath>
        <m:f>
          <m:fPr>
            <m:ctrlPr>
              <w:rPr>
                <w:rFonts w:ascii="Cambria Math" w:hAnsi="Cambria Math"/>
                <w:i/>
              </w:rPr>
            </m:ctrlPr>
          </m:fPr>
          <m:num>
            <m:r>
              <w:rPr>
                <w:rFonts w:ascii="Cambria Math" w:hAnsi="Cambria Math"/>
              </w:rPr>
              <m:t>(X-Y)</m:t>
            </m:r>
          </m:num>
          <m:den>
            <m:r>
              <w:rPr>
                <w:rFonts w:ascii="Cambria Math" w:hAnsi="Cambria Math"/>
              </w:rPr>
              <m:t>X</m:t>
            </m:r>
          </m:den>
        </m:f>
        <m:r>
          <w:rPr>
            <w:rFonts w:ascii="Cambria Math" w:eastAsiaTheme="minorEastAsia" w:hAnsi="Cambria Math"/>
          </w:rPr>
          <m:t xml:space="preserve"> × 100</m:t>
        </m:r>
      </m:oMath>
      <w:r>
        <w:rPr>
          <w:rFonts w:eastAsiaTheme="minorEastAsia"/>
        </w:rPr>
        <w:t>, where X is the blood feeding % in the untreated net tunnel and Y is the blood-feeding % in the test net tunnel.</w:t>
      </w:r>
    </w:p>
  </w:footnote>
  <w:footnote w:id="6">
    <w:p w14:paraId="043911A9" w14:textId="77777777" w:rsidR="005864A9" w:rsidRDefault="005864A9" w:rsidP="005864A9">
      <w:pPr>
        <w:pStyle w:val="FootnoteText"/>
      </w:pPr>
      <w:r>
        <w:rPr>
          <w:rStyle w:val="FootnoteReference"/>
        </w:rPr>
        <w:footnoteRef/>
      </w:r>
      <w:r>
        <w:t xml:space="preserve"> Immediate mortality (%) = (X/Y) x 100, where X is the total number of dead mosquitoes collected from the tunnel and Y in the total number of mosquitoes exposed to the test net in the tunnel.</w:t>
      </w:r>
    </w:p>
  </w:footnote>
  <w:footnote w:id="7">
    <w:p w14:paraId="1C6735D2" w14:textId="77777777" w:rsidR="005864A9" w:rsidRDefault="005864A9" w:rsidP="005864A9">
      <w:pPr>
        <w:pStyle w:val="FootnoteText"/>
      </w:pPr>
      <w:r>
        <w:rPr>
          <w:rStyle w:val="FootnoteReference"/>
        </w:rPr>
        <w:footnoteRef/>
      </w:r>
      <w:r>
        <w:t xml:space="preserve"> 24-hour mortality (%) = (X/Y) x 100, where X is the total number of mosquitoes dead within 24 hours and Y in the total number of mosquitoes exposed to the test net in the tunnel.</w:t>
      </w:r>
    </w:p>
  </w:footnote>
  <w:footnote w:id="8">
    <w:p w14:paraId="3E888052" w14:textId="77777777" w:rsidR="005864A9" w:rsidRDefault="005864A9" w:rsidP="005864A9">
      <w:pPr>
        <w:pStyle w:val="FootnoteText"/>
      </w:pPr>
      <w:r>
        <w:rPr>
          <w:rStyle w:val="FootnoteReference"/>
        </w:rPr>
        <w:footnoteRef/>
      </w:r>
      <w:r>
        <w:t xml:space="preserve"> 72-hour mortality (%) = (X/Y) x 100, where X is the total number of mosquitoes dead within 72 hours (including mosquitoes dead on collection and at 24- and 48-hours) and Y in the total number of mosquitoes exposed to the test net in the tunnel.</w:t>
      </w:r>
    </w:p>
    <w:p w14:paraId="15AFAB20" w14:textId="77777777" w:rsidR="005864A9" w:rsidRDefault="005864A9" w:rsidP="005864A9">
      <w:pPr>
        <w:pStyle w:val="FootnoteText"/>
      </w:pPr>
      <w:r>
        <w:t xml:space="preserve"> </w:t>
      </w:r>
    </w:p>
    <w:p w14:paraId="0F449C3B" w14:textId="77777777" w:rsidR="005864A9" w:rsidRPr="00EC1829" w:rsidRDefault="005864A9" w:rsidP="005864A9">
      <w:pPr>
        <w:pStyle w:val="FootnoteText"/>
        <w:rPr>
          <w:b/>
          <w:b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8C3"/>
    <w:multiLevelType w:val="hybridMultilevel"/>
    <w:tmpl w:val="21982436"/>
    <w:lvl w:ilvl="0" w:tplc="0EF08DAA">
      <w:start w:val="3"/>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3529F7"/>
    <w:multiLevelType w:val="hybridMultilevel"/>
    <w:tmpl w:val="3C32D622"/>
    <w:lvl w:ilvl="0" w:tplc="ED8E04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B1D56"/>
    <w:multiLevelType w:val="multilevel"/>
    <w:tmpl w:val="4D12F9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96"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43149C"/>
    <w:multiLevelType w:val="hybridMultilevel"/>
    <w:tmpl w:val="A37C7074"/>
    <w:lvl w:ilvl="0" w:tplc="ED8E047E">
      <w:start w:val="1"/>
      <w:numFmt w:val="bullet"/>
      <w:lvlText w:val=""/>
      <w:lvlJc w:val="left"/>
      <w:pPr>
        <w:ind w:left="97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4" w15:restartNumberingAfterBreak="0">
    <w:nsid w:val="27A06095"/>
    <w:multiLevelType w:val="multilevel"/>
    <w:tmpl w:val="912CDE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96" w:hanging="504"/>
      </w:pPr>
      <w:rPr>
        <w:rFonts w:ascii="Symbol" w:hAnsi="Symbol" w:hint="default"/>
      </w:rPr>
    </w:lvl>
    <w:lvl w:ilvl="3">
      <w:start w:val="6"/>
      <w:numFmt w:val="bullet"/>
      <w:lvlText w:val="-"/>
      <w:lvlJc w:val="left"/>
      <w:pPr>
        <w:ind w:left="1728" w:hanging="648"/>
      </w:pPr>
      <w:rPr>
        <w:rFonts w:ascii="Segoe UI" w:eastAsia="Segoe UI" w:hAnsi="Segoe UI" w:cs="Segoe UI"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F916B8"/>
    <w:multiLevelType w:val="multilevel"/>
    <w:tmpl w:val="453A1C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B197215"/>
    <w:multiLevelType w:val="hybridMultilevel"/>
    <w:tmpl w:val="E12030A2"/>
    <w:lvl w:ilvl="0" w:tplc="ED8E047E">
      <w:start w:val="1"/>
      <w:numFmt w:val="bullet"/>
      <w:lvlText w:val=""/>
      <w:lvlJc w:val="left"/>
      <w:pPr>
        <w:ind w:left="974" w:hanging="360"/>
      </w:pPr>
      <w:rPr>
        <w:rFonts w:ascii="Symbol" w:hAnsi="Symbol" w:hint="default"/>
      </w:rPr>
    </w:lvl>
    <w:lvl w:ilvl="1" w:tplc="08090003" w:tentative="1">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7" w15:restartNumberingAfterBreak="0">
    <w:nsid w:val="3C960E38"/>
    <w:multiLevelType w:val="hybridMultilevel"/>
    <w:tmpl w:val="30F0F7B4"/>
    <w:lvl w:ilvl="0" w:tplc="0EF08DAA">
      <w:start w:val="3"/>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595DE7"/>
    <w:multiLevelType w:val="multilevel"/>
    <w:tmpl w:val="912CDE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96" w:hanging="504"/>
      </w:pPr>
      <w:rPr>
        <w:rFonts w:ascii="Symbol" w:hAnsi="Symbol" w:hint="default"/>
      </w:rPr>
    </w:lvl>
    <w:lvl w:ilvl="3">
      <w:start w:val="6"/>
      <w:numFmt w:val="bullet"/>
      <w:lvlText w:val="-"/>
      <w:lvlJc w:val="left"/>
      <w:pPr>
        <w:ind w:left="1728" w:hanging="648"/>
      </w:pPr>
      <w:rPr>
        <w:rFonts w:ascii="Segoe UI" w:eastAsia="Segoe UI" w:hAnsi="Segoe UI" w:cs="Segoe UI"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E5F674B"/>
    <w:multiLevelType w:val="hybridMultilevel"/>
    <w:tmpl w:val="C6A8B5C6"/>
    <w:lvl w:ilvl="0" w:tplc="ED8E047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ED1A6A"/>
    <w:multiLevelType w:val="hybridMultilevel"/>
    <w:tmpl w:val="7C0A1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C407C"/>
    <w:multiLevelType w:val="hybridMultilevel"/>
    <w:tmpl w:val="0CC06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601146"/>
    <w:multiLevelType w:val="hybridMultilevel"/>
    <w:tmpl w:val="C58C46D4"/>
    <w:lvl w:ilvl="0" w:tplc="ED8E047E">
      <w:start w:val="1"/>
      <w:numFmt w:val="bullet"/>
      <w:lvlText w:val=""/>
      <w:lvlJc w:val="left"/>
      <w:pPr>
        <w:ind w:left="974" w:hanging="360"/>
      </w:pPr>
      <w:rPr>
        <w:rFonts w:ascii="Symbol" w:hAnsi="Symbol" w:hint="default"/>
      </w:rPr>
    </w:lvl>
    <w:lvl w:ilvl="1" w:tplc="08090003">
      <w:start w:val="1"/>
      <w:numFmt w:val="bullet"/>
      <w:lvlText w:val="o"/>
      <w:lvlJc w:val="left"/>
      <w:pPr>
        <w:ind w:left="1694" w:hanging="360"/>
      </w:pPr>
      <w:rPr>
        <w:rFonts w:ascii="Courier New" w:hAnsi="Courier New" w:cs="Courier New" w:hint="default"/>
      </w:rPr>
    </w:lvl>
    <w:lvl w:ilvl="2" w:tplc="08090005" w:tentative="1">
      <w:start w:val="1"/>
      <w:numFmt w:val="bullet"/>
      <w:lvlText w:val=""/>
      <w:lvlJc w:val="left"/>
      <w:pPr>
        <w:ind w:left="2414" w:hanging="360"/>
      </w:pPr>
      <w:rPr>
        <w:rFonts w:ascii="Wingdings" w:hAnsi="Wingdings" w:hint="default"/>
      </w:rPr>
    </w:lvl>
    <w:lvl w:ilvl="3" w:tplc="08090001" w:tentative="1">
      <w:start w:val="1"/>
      <w:numFmt w:val="bullet"/>
      <w:lvlText w:val=""/>
      <w:lvlJc w:val="left"/>
      <w:pPr>
        <w:ind w:left="3134" w:hanging="360"/>
      </w:pPr>
      <w:rPr>
        <w:rFonts w:ascii="Symbol" w:hAnsi="Symbol" w:hint="default"/>
      </w:rPr>
    </w:lvl>
    <w:lvl w:ilvl="4" w:tplc="08090003" w:tentative="1">
      <w:start w:val="1"/>
      <w:numFmt w:val="bullet"/>
      <w:lvlText w:val="o"/>
      <w:lvlJc w:val="left"/>
      <w:pPr>
        <w:ind w:left="3854" w:hanging="360"/>
      </w:pPr>
      <w:rPr>
        <w:rFonts w:ascii="Courier New" w:hAnsi="Courier New" w:cs="Courier New" w:hint="default"/>
      </w:rPr>
    </w:lvl>
    <w:lvl w:ilvl="5" w:tplc="08090005" w:tentative="1">
      <w:start w:val="1"/>
      <w:numFmt w:val="bullet"/>
      <w:lvlText w:val=""/>
      <w:lvlJc w:val="left"/>
      <w:pPr>
        <w:ind w:left="4574" w:hanging="360"/>
      </w:pPr>
      <w:rPr>
        <w:rFonts w:ascii="Wingdings" w:hAnsi="Wingdings" w:hint="default"/>
      </w:rPr>
    </w:lvl>
    <w:lvl w:ilvl="6" w:tplc="08090001" w:tentative="1">
      <w:start w:val="1"/>
      <w:numFmt w:val="bullet"/>
      <w:lvlText w:val=""/>
      <w:lvlJc w:val="left"/>
      <w:pPr>
        <w:ind w:left="5294" w:hanging="360"/>
      </w:pPr>
      <w:rPr>
        <w:rFonts w:ascii="Symbol" w:hAnsi="Symbol" w:hint="default"/>
      </w:rPr>
    </w:lvl>
    <w:lvl w:ilvl="7" w:tplc="08090003" w:tentative="1">
      <w:start w:val="1"/>
      <w:numFmt w:val="bullet"/>
      <w:lvlText w:val="o"/>
      <w:lvlJc w:val="left"/>
      <w:pPr>
        <w:ind w:left="6014" w:hanging="360"/>
      </w:pPr>
      <w:rPr>
        <w:rFonts w:ascii="Courier New" w:hAnsi="Courier New" w:cs="Courier New" w:hint="default"/>
      </w:rPr>
    </w:lvl>
    <w:lvl w:ilvl="8" w:tplc="08090005" w:tentative="1">
      <w:start w:val="1"/>
      <w:numFmt w:val="bullet"/>
      <w:lvlText w:val=""/>
      <w:lvlJc w:val="left"/>
      <w:pPr>
        <w:ind w:left="6734" w:hanging="360"/>
      </w:pPr>
      <w:rPr>
        <w:rFonts w:ascii="Wingdings" w:hAnsi="Wingdings" w:hint="default"/>
      </w:rPr>
    </w:lvl>
  </w:abstractNum>
  <w:abstractNum w:abstractNumId="13" w15:restartNumberingAfterBreak="0">
    <w:nsid w:val="712C7E25"/>
    <w:multiLevelType w:val="multilevel"/>
    <w:tmpl w:val="453A1C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2502D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2A04627"/>
    <w:multiLevelType w:val="hybridMultilevel"/>
    <w:tmpl w:val="0BBECB36"/>
    <w:lvl w:ilvl="0" w:tplc="0809000F">
      <w:start w:val="1"/>
      <w:numFmt w:val="decimal"/>
      <w:lvlText w:val="%1."/>
      <w:lvlJc w:val="lef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16" w15:restartNumberingAfterBreak="0">
    <w:nsid w:val="763F29D0"/>
    <w:multiLevelType w:val="hybridMultilevel"/>
    <w:tmpl w:val="99142CB0"/>
    <w:lvl w:ilvl="0" w:tplc="0EF08DAA">
      <w:start w:val="3"/>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D2429C4"/>
    <w:multiLevelType w:val="hybridMultilevel"/>
    <w:tmpl w:val="23328C2A"/>
    <w:lvl w:ilvl="0" w:tplc="86724C7A">
      <w:start w:val="6"/>
      <w:numFmt w:val="bullet"/>
      <w:lvlText w:val="-"/>
      <w:lvlJc w:val="left"/>
      <w:pPr>
        <w:ind w:left="720" w:hanging="360"/>
      </w:pPr>
      <w:rPr>
        <w:rFonts w:ascii="Segoe UI" w:eastAsia="Segoe U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375740">
    <w:abstractNumId w:val="8"/>
  </w:num>
  <w:num w:numId="2" w16cid:durableId="63987450">
    <w:abstractNumId w:val="13"/>
  </w:num>
  <w:num w:numId="3" w16cid:durableId="1564683413">
    <w:abstractNumId w:val="5"/>
  </w:num>
  <w:num w:numId="4" w16cid:durableId="584144564">
    <w:abstractNumId w:val="2"/>
  </w:num>
  <w:num w:numId="5" w16cid:durableId="257179707">
    <w:abstractNumId w:val="17"/>
  </w:num>
  <w:num w:numId="6" w16cid:durableId="1392343268">
    <w:abstractNumId w:val="6"/>
  </w:num>
  <w:num w:numId="7" w16cid:durableId="1799640136">
    <w:abstractNumId w:val="12"/>
  </w:num>
  <w:num w:numId="8" w16cid:durableId="2122993968">
    <w:abstractNumId w:val="3"/>
  </w:num>
  <w:num w:numId="9" w16cid:durableId="1863929557">
    <w:abstractNumId w:val="0"/>
  </w:num>
  <w:num w:numId="10" w16cid:durableId="995911838">
    <w:abstractNumId w:val="7"/>
  </w:num>
  <w:num w:numId="11" w16cid:durableId="1299453755">
    <w:abstractNumId w:val="15"/>
  </w:num>
  <w:num w:numId="12" w16cid:durableId="1340963780">
    <w:abstractNumId w:val="4"/>
  </w:num>
  <w:num w:numId="13" w16cid:durableId="683166616">
    <w:abstractNumId w:val="9"/>
  </w:num>
  <w:num w:numId="14" w16cid:durableId="694304547">
    <w:abstractNumId w:val="16"/>
  </w:num>
  <w:num w:numId="15" w16cid:durableId="188028909">
    <w:abstractNumId w:val="1"/>
  </w:num>
  <w:num w:numId="16" w16cid:durableId="7759808">
    <w:abstractNumId w:val="14"/>
  </w:num>
  <w:num w:numId="17" w16cid:durableId="2058821908">
    <w:abstractNumId w:val="10"/>
  </w:num>
  <w:num w:numId="18" w16cid:durableId="12180847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E5"/>
    <w:rsid w:val="001D0029"/>
    <w:rsid w:val="001F4611"/>
    <w:rsid w:val="00200F6B"/>
    <w:rsid w:val="00254236"/>
    <w:rsid w:val="00372EE0"/>
    <w:rsid w:val="00444780"/>
    <w:rsid w:val="00452275"/>
    <w:rsid w:val="00460B1D"/>
    <w:rsid w:val="00546324"/>
    <w:rsid w:val="005864A9"/>
    <w:rsid w:val="005E50DA"/>
    <w:rsid w:val="00634A9C"/>
    <w:rsid w:val="006A242A"/>
    <w:rsid w:val="00782796"/>
    <w:rsid w:val="008F572E"/>
    <w:rsid w:val="00993C09"/>
    <w:rsid w:val="009D5120"/>
    <w:rsid w:val="00A04A3C"/>
    <w:rsid w:val="00A45098"/>
    <w:rsid w:val="00B347D9"/>
    <w:rsid w:val="00BC0CA3"/>
    <w:rsid w:val="00C2609D"/>
    <w:rsid w:val="00C47D6C"/>
    <w:rsid w:val="00C925E5"/>
    <w:rsid w:val="00CA6402"/>
    <w:rsid w:val="00CA79D0"/>
    <w:rsid w:val="00CB692E"/>
    <w:rsid w:val="00D015DA"/>
    <w:rsid w:val="00DB365A"/>
    <w:rsid w:val="00DE6BA3"/>
    <w:rsid w:val="00E72C76"/>
    <w:rsid w:val="00E92B37"/>
    <w:rsid w:val="00EB0F1D"/>
    <w:rsid w:val="00ED3583"/>
    <w:rsid w:val="00F255C2"/>
    <w:rsid w:val="00F40D46"/>
    <w:rsid w:val="00FD675E"/>
    <w:rsid w:val="00FF3C89"/>
    <w:rsid w:val="00FF4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392B"/>
  <w15:chartTrackingRefBased/>
  <w15:docId w15:val="{A4662AF8-64BD-4E64-B695-180EE751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925E5"/>
    <w:pPr>
      <w:spacing w:before="100" w:beforeAutospacing="1" w:after="0" w:line="360" w:lineRule="auto"/>
    </w:pPr>
    <w:rPr>
      <w:rFonts w:ascii="Segoe UI" w:eastAsia="Segoe UI" w:hAnsi="Segoe UI" w:cs="Segoe UI"/>
      <w:lang w:val="en-US"/>
    </w:rPr>
  </w:style>
  <w:style w:type="paragraph" w:styleId="Heading1">
    <w:name w:val="heading 1"/>
    <w:basedOn w:val="Normal"/>
    <w:link w:val="Heading1Char"/>
    <w:uiPriority w:val="9"/>
    <w:qFormat/>
    <w:rsid w:val="00C925E5"/>
    <w:pPr>
      <w:spacing w:before="360" w:beforeAutospacing="0" w:after="240" w:line="340" w:lineRule="exact"/>
      <w:outlineLvl w:val="0"/>
    </w:pPr>
    <w:rPr>
      <w:rFonts w:ascii="Noto Sans SemBd" w:hAnsi="Noto Sans SemBd"/>
      <w:color w:val="86B958"/>
      <w:sz w:val="32"/>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5E5"/>
    <w:rPr>
      <w:rFonts w:ascii="Noto Sans SemBd" w:eastAsia="Segoe UI" w:hAnsi="Noto Sans SemBd" w:cs="Segoe UI"/>
      <w:color w:val="86B958"/>
      <w:sz w:val="32"/>
      <w:szCs w:val="31"/>
      <w:lang w:val="en-US"/>
    </w:rPr>
  </w:style>
  <w:style w:type="paragraph" w:styleId="ListParagraph">
    <w:name w:val="List Paragraph"/>
    <w:basedOn w:val="Normal"/>
    <w:link w:val="ListParagraphChar"/>
    <w:uiPriority w:val="34"/>
    <w:qFormat/>
    <w:rsid w:val="00C925E5"/>
    <w:pPr>
      <w:spacing w:before="252"/>
      <w:ind w:left="630" w:hanging="376"/>
    </w:pPr>
  </w:style>
  <w:style w:type="character" w:customStyle="1" w:styleId="ListParagraphChar">
    <w:name w:val="List Paragraph Char"/>
    <w:basedOn w:val="DefaultParagraphFont"/>
    <w:link w:val="ListParagraph"/>
    <w:uiPriority w:val="34"/>
    <w:rsid w:val="00C925E5"/>
    <w:rPr>
      <w:rFonts w:ascii="Segoe UI" w:eastAsia="Segoe UI" w:hAnsi="Segoe UI" w:cs="Segoe UI"/>
      <w:lang w:val="en-US"/>
    </w:rPr>
  </w:style>
  <w:style w:type="paragraph" w:styleId="Title">
    <w:name w:val="Title"/>
    <w:basedOn w:val="Normal"/>
    <w:link w:val="TitleChar"/>
    <w:uiPriority w:val="10"/>
    <w:qFormat/>
    <w:rsid w:val="00C925E5"/>
    <w:pPr>
      <w:spacing w:after="120" w:line="640" w:lineRule="exact"/>
    </w:pPr>
    <w:rPr>
      <w:rFonts w:ascii="Noto Sans" w:hAnsi="Noto Sans"/>
      <w:b/>
      <w:color w:val="143C5D"/>
      <w:sz w:val="60"/>
      <w:szCs w:val="57"/>
    </w:rPr>
  </w:style>
  <w:style w:type="character" w:customStyle="1" w:styleId="TitleChar">
    <w:name w:val="Title Char"/>
    <w:basedOn w:val="DefaultParagraphFont"/>
    <w:link w:val="Title"/>
    <w:uiPriority w:val="10"/>
    <w:rsid w:val="00C925E5"/>
    <w:rPr>
      <w:rFonts w:ascii="Noto Sans" w:eastAsia="Segoe UI" w:hAnsi="Noto Sans" w:cs="Segoe UI"/>
      <w:b/>
      <w:color w:val="143C5D"/>
      <w:sz w:val="60"/>
      <w:szCs w:val="57"/>
      <w:lang w:val="en-US"/>
    </w:rPr>
  </w:style>
  <w:style w:type="table" w:styleId="TableGrid">
    <w:name w:val="Table Grid"/>
    <w:basedOn w:val="TableNormal"/>
    <w:uiPriority w:val="39"/>
    <w:rsid w:val="00C925E5"/>
    <w:pPr>
      <w:spacing w:beforeAutospacing="1"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925E5"/>
    <w:pPr>
      <w:spacing w:before="0" w:line="240" w:lineRule="auto"/>
    </w:pPr>
    <w:rPr>
      <w:sz w:val="20"/>
      <w:szCs w:val="20"/>
    </w:rPr>
  </w:style>
  <w:style w:type="character" w:customStyle="1" w:styleId="FootnoteTextChar">
    <w:name w:val="Footnote Text Char"/>
    <w:basedOn w:val="DefaultParagraphFont"/>
    <w:link w:val="FootnoteText"/>
    <w:uiPriority w:val="99"/>
    <w:rsid w:val="00C925E5"/>
    <w:rPr>
      <w:rFonts w:ascii="Segoe UI" w:eastAsia="Segoe UI" w:hAnsi="Segoe UI" w:cs="Segoe UI"/>
      <w:sz w:val="20"/>
      <w:szCs w:val="20"/>
      <w:lang w:val="en-US"/>
    </w:rPr>
  </w:style>
  <w:style w:type="character" w:styleId="FootnoteReference">
    <w:name w:val="footnote reference"/>
    <w:basedOn w:val="DefaultParagraphFont"/>
    <w:uiPriority w:val="99"/>
    <w:semiHidden/>
    <w:unhideWhenUsed/>
    <w:rsid w:val="00C925E5"/>
    <w:rPr>
      <w:vertAlign w:val="superscript"/>
    </w:rPr>
  </w:style>
  <w:style w:type="paragraph" w:styleId="Caption">
    <w:name w:val="caption"/>
    <w:basedOn w:val="Normal"/>
    <w:next w:val="Normal"/>
    <w:uiPriority w:val="35"/>
    <w:unhideWhenUsed/>
    <w:qFormat/>
    <w:rsid w:val="00C925E5"/>
    <w:pPr>
      <w:spacing w:before="0"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925E5"/>
    <w:rPr>
      <w:sz w:val="16"/>
      <w:szCs w:val="16"/>
    </w:rPr>
  </w:style>
  <w:style w:type="paragraph" w:styleId="CommentText">
    <w:name w:val="annotation text"/>
    <w:basedOn w:val="Normal"/>
    <w:link w:val="CommentTextChar"/>
    <w:uiPriority w:val="99"/>
    <w:semiHidden/>
    <w:unhideWhenUsed/>
    <w:rsid w:val="00C925E5"/>
    <w:pPr>
      <w:spacing w:line="240" w:lineRule="auto"/>
    </w:pPr>
    <w:rPr>
      <w:sz w:val="20"/>
      <w:szCs w:val="20"/>
    </w:rPr>
  </w:style>
  <w:style w:type="character" w:customStyle="1" w:styleId="CommentTextChar">
    <w:name w:val="Comment Text Char"/>
    <w:basedOn w:val="DefaultParagraphFont"/>
    <w:link w:val="CommentText"/>
    <w:uiPriority w:val="99"/>
    <w:semiHidden/>
    <w:rsid w:val="00C925E5"/>
    <w:rPr>
      <w:rFonts w:ascii="Segoe UI" w:eastAsia="Segoe UI" w:hAnsi="Segoe UI" w:cs="Segoe UI"/>
      <w:sz w:val="20"/>
      <w:szCs w:val="20"/>
      <w:lang w:val="en-US"/>
    </w:rPr>
  </w:style>
  <w:style w:type="character" w:customStyle="1" w:styleId="normaltextrun">
    <w:name w:val="normaltextrun"/>
    <w:basedOn w:val="DefaultParagraphFont"/>
    <w:rsid w:val="00C925E5"/>
  </w:style>
  <w:style w:type="table" w:customStyle="1" w:styleId="TableGrid1">
    <w:name w:val="Table Grid1"/>
    <w:basedOn w:val="TableNormal"/>
    <w:next w:val="TableGrid"/>
    <w:uiPriority w:val="39"/>
    <w:rsid w:val="00C92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64A9"/>
    <w:pPr>
      <w:spacing w:before="0" w:beforeAutospacing="0" w:line="240" w:lineRule="auto"/>
    </w:pPr>
    <w:rPr>
      <w:rFonts w:eastAsiaTheme="minorHAnsi"/>
      <w:sz w:val="18"/>
      <w:szCs w:val="18"/>
      <w:lang w:val="en-GB"/>
    </w:rPr>
  </w:style>
  <w:style w:type="character" w:customStyle="1" w:styleId="BalloonTextChar">
    <w:name w:val="Balloon Text Char"/>
    <w:basedOn w:val="DefaultParagraphFont"/>
    <w:link w:val="BalloonText"/>
    <w:uiPriority w:val="99"/>
    <w:semiHidden/>
    <w:rsid w:val="005864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2BB47E78BC44D8A9ED3572590C657" ma:contentTypeVersion="15" ma:contentTypeDescription="Create a new document." ma:contentTypeScope="" ma:versionID="a83c2f9d48c5550e3905d7fba44d19f8">
  <xsd:schema xmlns:xsd="http://www.w3.org/2001/XMLSchema" xmlns:xs="http://www.w3.org/2001/XMLSchema" xmlns:p="http://schemas.microsoft.com/office/2006/metadata/properties" xmlns:ns2="38362df1-d52b-4f5a-bf1f-0f499277f859" xmlns:ns3="e0803327-5762-4606-a2e2-81c84286abcf" xmlns:ns4="db34223c-05cb-4c59-abce-7fba8e81b2b1" targetNamespace="http://schemas.microsoft.com/office/2006/metadata/properties" ma:root="true" ma:fieldsID="d4df248753e868d14681ef3c63cb592f" ns2:_="" ns3:_="" ns4:_="">
    <xsd:import namespace="38362df1-d52b-4f5a-bf1f-0f499277f859"/>
    <xsd:import namespace="e0803327-5762-4606-a2e2-81c84286abcf"/>
    <xsd:import namespace="db34223c-05cb-4c59-abce-7fba8e81b2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62df1-d52b-4f5a-bf1f-0f499277f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10342f-3527-4dcd-ac28-e59db492a8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803327-5762-4606-a2e2-81c84286ab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4223c-05cb-4c59-abce-7fba8e81b2b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31bc409-75ab-4476-b2bd-bd41b3e2d085}" ma:internalName="TaxCatchAll" ma:showField="CatchAllData" ma:web="e0803327-5762-4606-a2e2-81c84286ab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34223c-05cb-4c59-abce-7fba8e81b2b1" xsi:nil="true"/>
    <lcf76f155ced4ddcb4097134ff3c332f xmlns="38362df1-d52b-4f5a-bf1f-0f499277f8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BB21F-631F-4903-B14B-E0526438F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62df1-d52b-4f5a-bf1f-0f499277f859"/>
    <ds:schemaRef ds:uri="e0803327-5762-4606-a2e2-81c84286abcf"/>
    <ds:schemaRef ds:uri="db34223c-05cb-4c59-abce-7fba8e81b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99E05A-0200-47D2-9E00-425463C8FC28}">
  <ds:schemaRefs>
    <ds:schemaRef ds:uri="http://schemas.microsoft.com/sharepoint/v3/contenttype/forms"/>
  </ds:schemaRefs>
</ds:datastoreItem>
</file>

<file path=customXml/itemProps3.xml><?xml version="1.0" encoding="utf-8"?>
<ds:datastoreItem xmlns:ds="http://schemas.openxmlformats.org/officeDocument/2006/customXml" ds:itemID="{D03DC6E6-F2DF-425F-98BC-D099F5FAF367}">
  <ds:schemaRefs>
    <ds:schemaRef ds:uri="http://schemas.microsoft.com/office/2006/metadata/properties"/>
    <ds:schemaRef ds:uri="http://schemas.microsoft.com/office/infopath/2007/PartnerControls"/>
    <ds:schemaRef ds:uri="db34223c-05cb-4c59-abce-7fba8e81b2b1"/>
    <ds:schemaRef ds:uri="38362df1-d52b-4f5a-bf1f-0f499277f859"/>
  </ds:schemaRefs>
</ds:datastoreItem>
</file>

<file path=customXml/itemProps4.xml><?xml version="1.0" encoding="utf-8"?>
<ds:datastoreItem xmlns:ds="http://schemas.openxmlformats.org/officeDocument/2006/customXml" ds:itemID="{AF56EB26-AAF8-444B-A977-5B50D2FE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3875</Words>
  <Characters>22092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Gleave</dc:creator>
  <cp:keywords/>
  <dc:description/>
  <cp:lastModifiedBy>Katherine Gleave</cp:lastModifiedBy>
  <cp:revision>2</cp:revision>
  <dcterms:created xsi:type="dcterms:W3CDTF">2023-03-01T13:48:00Z</dcterms:created>
  <dcterms:modified xsi:type="dcterms:W3CDTF">2023-03-01T13:48:00Z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0x0101003712BB47E78BC44D8A9ED3572590C657</vt:lpwstr>
  </property>
  <property fmtid="{D5CDD505-2E9C-101B-9397-08002B2CF9AE}" pid="23" name="MediaServiceImageTags">
    <vt:lpwstr/>
  </property>
</Properties>
</file>