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64D8F" w:rsidP="002D2877" w14:paraId="4251F148" w14:textId="7ED72704">
      <w:pPr>
        <w:pStyle w:val="Title"/>
        <w:bidi w:val="0"/>
      </w:pPr>
      <w:r>
        <w:rPr>
          <w:rtl w:val="0"/>
          <w:lang w:val="fr"/>
        </w:rPr>
        <w:t>Notes budgétaires pour les études simplifiées de contrôle de la durabilité</w:t>
      </w:r>
    </w:p>
    <w:p w:rsidR="002D2877" w:rsidRPr="00AF6918" w:rsidP="002D2877" w14:paraId="359BD049" w14:textId="1EA2BE13">
      <w:pPr>
        <w:bidi w:val="0"/>
        <w:rPr>
          <w:b/>
          <w:i/>
        </w:rPr>
      </w:pPr>
      <w:r w:rsidRPr="00AF6918">
        <w:rPr>
          <w:b/>
          <w:i/>
          <w:rtl w:val="0"/>
          <w:lang w:val="fr"/>
        </w:rPr>
        <w:t>Conseils généraux sur la budgétisation</w:t>
      </w:r>
    </w:p>
    <w:p w:rsidR="002D2877" w:rsidP="002D2877" w14:paraId="66D1EDF5" w14:textId="5B2A67E4">
      <w:pPr>
        <w:bidi w:val="0"/>
      </w:pPr>
      <w:r>
        <w:rPr>
          <w:rtl w:val="0"/>
          <w:lang w:val="fr"/>
        </w:rPr>
        <w:t>Votre budget doit être élaboré à l'aide des modèles de budgétisation standard de l'USAID ou du partenaire de mise en œuvre. Ces notes sont données à titre indicatif et peuvent ne pas inclure tous les détails nécessaires à l'élaboration d'un budget complet pour votre organisation.</w:t>
      </w:r>
    </w:p>
    <w:p w:rsidR="002D2877" w:rsidP="002D2877" w14:paraId="6462B239" w14:textId="7FA8DC66">
      <w:pPr>
        <w:bidi w:val="0"/>
      </w:pPr>
      <w:r>
        <w:rPr>
          <w:rtl w:val="0"/>
          <w:lang w:val="fr"/>
        </w:rPr>
        <w:t>Les budgets doivent être élaborés pour chaque année de surveillance, la collecte des données de base et des données à 12 mois ayant lieu l'année 1, la collecte des données à 24 mois l'année 2 et la collecte des données à 36 mois l'année 3. Une colonne « total » doit être utilisée pour totaliser le coût total des quatre séries de collecte de données et des autres activités de surveillance.</w:t>
      </w:r>
    </w:p>
    <w:p w:rsidR="00EA4D9A" w:rsidP="002D2877" w14:paraId="36B200BE" w14:textId="1D04AAC9">
      <w:pPr>
        <w:bidi w:val="0"/>
      </w:pPr>
      <w:r>
        <w:rPr>
          <w:rtl w:val="0"/>
          <w:lang w:val="fr"/>
        </w:rPr>
        <w:t xml:space="preserve">Le budget est divisé en différentes catégories pour chaque période comme suit : </w:t>
      </w:r>
    </w:p>
    <w:p w:rsidR="00EA4D9A" w:rsidP="00EA4D9A" w14:paraId="7F9B9D1F" w14:textId="66DBE516">
      <w:pPr>
        <w:pStyle w:val="ListParagraph"/>
        <w:numPr>
          <w:ilvl w:val="0"/>
          <w:numId w:val="3"/>
        </w:numPr>
        <w:bidi w:val="0"/>
      </w:pPr>
      <w:r>
        <w:rPr>
          <w:rtl w:val="0"/>
          <w:lang w:val="fr"/>
        </w:rPr>
        <w:t>La catégorie « GÉNÉRAL » concerne toutes les activités requises pour planifier et mettre en place la surveillance, l'assurance qualité générale, la supervision et l'analyse, ainsi que les coûts généraux de la surveillance qui ne sont pas couverts ailleurs (comme les coûts des tests ou les coûts de diffusion des résultats)</w:t>
      </w:r>
    </w:p>
    <w:p w:rsidR="00EA4D9A" w:rsidP="00EA4D9A" w14:paraId="65D34D64" w14:textId="4F958921">
      <w:pPr>
        <w:pStyle w:val="ListParagraph"/>
        <w:numPr>
          <w:ilvl w:val="0"/>
          <w:numId w:val="3"/>
        </w:numPr>
        <w:bidi w:val="0"/>
      </w:pPr>
      <w:r>
        <w:rPr>
          <w:rtl w:val="0"/>
          <w:lang w:val="fr"/>
        </w:rPr>
        <w:t>La rubrique « Formation » concerne toutes les dépenses nécessaires à la formation de l'équipe de surveillance sur le terrain</w:t>
      </w:r>
    </w:p>
    <w:p w:rsidR="00EA4D9A" w:rsidP="00EA4D9A" w14:paraId="6503C288" w14:textId="3D95AB30">
      <w:pPr>
        <w:pStyle w:val="ListParagraph"/>
        <w:numPr>
          <w:ilvl w:val="0"/>
          <w:numId w:val="3"/>
        </w:numPr>
        <w:bidi w:val="0"/>
      </w:pPr>
      <w:r>
        <w:rPr>
          <w:rtl w:val="0"/>
          <w:lang w:val="fr"/>
        </w:rPr>
        <w:t>Le catégorie « TRAVAIL SUR LE TERRAIN » concerne toutes les dépenses liées à la collecte effective des données sur les sites</w:t>
      </w:r>
    </w:p>
    <w:p w:rsidR="007C6EB1" w:rsidP="002D2877" w14:paraId="1E5F9814" w14:textId="75BD467D">
      <w:pPr>
        <w:bidi w:val="0"/>
      </w:pPr>
      <w:r>
        <w:rPr>
          <w:rtl w:val="0"/>
          <w:lang w:val="fr"/>
        </w:rPr>
        <w:t>Un taux d'inflation annuel de 3% a été retenu pour le budget ci-joint. Vous pouvez le modifier en ajustant le taux dans l'espace réservé au taux d'inflation en haut à gauche du modèle de budget (surligné en jaune). Les coûts unitaires sont automatiquement ajustés pour l'année 2 et l'année 3 en utilisant le taux d'inflation défini dans cette cellule.</w:t>
      </w:r>
    </w:p>
    <w:p w:rsidR="00D66583" w:rsidP="002D2877" w14:paraId="655C21BE" w14:textId="02290AF4">
      <w:pPr>
        <w:bidi w:val="0"/>
      </w:pPr>
      <w:r>
        <w:rPr>
          <w:rtl w:val="0"/>
          <w:lang w:val="fr"/>
        </w:rPr>
        <w:t>La budgétisation suivra les principes généraux convenus pour la mise en œuvre de la surveillance. Des décisions spécifiques devront être prises concernant le nombre de sites et le nombre d'équipes de terrain à utiliser pour réaliser le travail de terrain, ce qui sera fait au stade du protocole et de la planification et du développement de la mise en œuvre et pourra être influencé par la disponibilité des chercheurs et le calendrier prévu pour la surveillance. Ce récit suppose 2 sites. Si 3 sites sont choisis, les coûts augmenteront. Ceci est illustré dans un onglet séparé du budget.</w:t>
      </w:r>
    </w:p>
    <w:p w:rsidR="0026526F" w:rsidRPr="002D2877" w:rsidP="002D2877" w14:paraId="368B0356" w14:textId="0E0BD270">
      <w:pPr>
        <w:bidi w:val="0"/>
      </w:pPr>
      <w:r>
        <w:rPr>
          <w:rtl w:val="0"/>
          <w:lang w:val="fr"/>
        </w:rPr>
        <w:t>Tous les coûts énumérés sont donnés à titre indicatif et doivent être revus (par exemple, les taux journaliers pour le personnel, les frais de déplacement) lorsque vous adaptez ce budget à votre activité de surveillance.</w:t>
      </w:r>
    </w:p>
    <w:p w:rsidR="00DF2960" w:rsidP="002D2877" w14:paraId="40EDCB93" w14:textId="31CF62D7">
      <w:pPr>
        <w:pStyle w:val="Heading1"/>
        <w:bidi w:val="0"/>
      </w:pPr>
      <w:r>
        <w:rPr>
          <w:rtl w:val="0"/>
          <w:lang w:val="fr"/>
        </w:rPr>
        <w:t>Personnel et avantages sociaux</w:t>
      </w:r>
    </w:p>
    <w:p w:rsidR="00A44CE4" w:rsidRPr="00A44CE4" w:rsidP="00A44CE4" w14:paraId="166B6A08" w14:textId="1A780C83">
      <w:pPr>
        <w:pStyle w:val="Heading2"/>
        <w:bidi w:val="0"/>
      </w:pPr>
      <w:r>
        <w:rPr>
          <w:rtl w:val="0"/>
          <w:lang w:val="fr"/>
        </w:rPr>
        <w:t>Personnel du partenaire de mise en œuvre</w:t>
      </w:r>
    </w:p>
    <w:p w:rsidR="00FC674E" w:rsidP="00D3267D" w14:paraId="2248415F" w14:textId="0B849C60">
      <w:pPr>
        <w:bidi w:val="0"/>
      </w:pPr>
      <w:r w:rsidRPr="00286D0A">
        <w:rPr>
          <w:b/>
          <w:rtl w:val="0"/>
          <w:lang w:val="fr"/>
        </w:rPr>
        <w:t xml:space="preserve">Enquêteur principal </w:t>
      </w:r>
      <w:r>
        <w:rPr>
          <w:rtl w:val="0"/>
          <w:lang w:val="fr"/>
        </w:rPr>
        <w:t xml:space="preserve">: Le salaire ou le taux journalier doit être budgétisé pour l'enquêteur principal (EP) du projet. L'EP est responsable en dernier ressort de la qualité des données et des questions éthiques ; il est recommandé que l'EP supervise le travail sur le terrain pour s'assurer que la surveillance est mise en œuvre conformément au protocole. Le budget ci-joint suppose que l'EP est basé au siège du partenaire de mise en œuvre. </w:t>
      </w:r>
    </w:p>
    <w:p w:rsidR="0081244F" w:rsidP="00D3267D" w14:paraId="35006D8A" w14:textId="3080CA68">
      <w:pPr>
        <w:bidi w:val="0"/>
      </w:pPr>
      <w:r w:rsidRPr="00A92693">
        <w:rPr>
          <w:rtl w:val="0"/>
          <w:lang w:val="fr"/>
        </w:rPr>
        <w:t>Jours de travail :</w:t>
      </w:r>
    </w:p>
    <w:p w:rsidR="0081244F" w:rsidP="001B0665" w14:paraId="6C771C2D" w14:textId="72781848">
      <w:pPr>
        <w:pStyle w:val="ListParagraph"/>
        <w:numPr>
          <w:ilvl w:val="0"/>
          <w:numId w:val="2"/>
        </w:numPr>
        <w:bidi w:val="0"/>
      </w:pPr>
      <w:r>
        <w:rPr>
          <w:rtl w:val="0"/>
          <w:lang w:val="fr"/>
        </w:rPr>
        <w:t xml:space="preserve">Général : Préparation et mise en place du suivi : 46 au cours de l'année 1 (28 pour la base de référence et 18 pour le cycle de collecte de données de 12 mois) ; 18 au cours de l'année 2 ; 18 au cours de l'année 3 </w:t>
      </w:r>
    </w:p>
    <w:p w:rsidR="0081244F" w:rsidP="0081244F" w14:paraId="458AC6FC" w14:textId="1020B53F">
      <w:pPr>
        <w:pStyle w:val="ListParagraph"/>
        <w:numPr>
          <w:ilvl w:val="0"/>
          <w:numId w:val="2"/>
        </w:numPr>
        <w:bidi w:val="0"/>
      </w:pPr>
      <w:r>
        <w:rPr>
          <w:rtl w:val="0"/>
          <w:lang w:val="fr"/>
        </w:rPr>
        <w:t>Formation : 2 jours par cycle de collecte de données (soutien bureautique)</w:t>
      </w:r>
    </w:p>
    <w:p w:rsidR="00FC674E" w:rsidRPr="00A92693" w:rsidP="00D3267D" w14:paraId="29FB028D" w14:textId="3DE8DC8F">
      <w:pPr>
        <w:bidi w:val="0"/>
      </w:pPr>
      <w:r>
        <w:rPr>
          <w:b/>
          <w:rtl w:val="0"/>
          <w:lang w:val="fr"/>
        </w:rPr>
        <w:t xml:space="preserve">Analyste/responsable de recherche </w:t>
      </w:r>
      <w:r>
        <w:rPr>
          <w:rtl w:val="0"/>
          <w:lang w:val="fr"/>
        </w:rPr>
        <w:t>: Le salaire ou le taux journalier doit être budgétisé pour l'analyste/le responsable de la recherche, qui gère les activités quotidiennes pour le suivi, forme et supervise les équipes de collecte de données, dirige le nettoyage, l'analyse et le rapport des données, et assure une liaison étroite avec l'EP pour rendre compte des progrès et des difficultés. Le budget ci-joint suppose que l'analyste/le responsable de recherche fait partie du personnel du partenaire de mise en œuvre basé au siège et qu'il se rendra sur le terrain pendant le premier cycle.</w:t>
      </w:r>
    </w:p>
    <w:p w:rsidR="006738F7" w:rsidP="006738F7" w14:paraId="5945B1F9" w14:textId="77777777">
      <w:pPr>
        <w:bidi w:val="0"/>
      </w:pPr>
      <w:r w:rsidRPr="00A92693">
        <w:rPr>
          <w:rtl w:val="0"/>
          <w:lang w:val="fr"/>
        </w:rPr>
        <w:t>Jours de travail :</w:t>
      </w:r>
    </w:p>
    <w:p w:rsidR="006738F7" w:rsidP="006738F7" w14:paraId="61C97832" w14:textId="74C6DC8C">
      <w:pPr>
        <w:pStyle w:val="ListParagraph"/>
        <w:numPr>
          <w:ilvl w:val="0"/>
          <w:numId w:val="2"/>
        </w:numPr>
        <w:bidi w:val="0"/>
      </w:pPr>
      <w:r>
        <w:rPr>
          <w:rtl w:val="0"/>
          <w:lang w:val="fr"/>
        </w:rPr>
        <w:t>Général : 43 pendant l'année 1 (18 pour l'enquête de base et 25 jours pour la collecte de données sur 12 mois) ; 25 pendant l'année 2 ; 25 pendant l'année 3</w:t>
      </w:r>
    </w:p>
    <w:p w:rsidR="006738F7" w:rsidP="005366FF" w14:paraId="39B1137F" w14:textId="4F5BFC90">
      <w:pPr>
        <w:pStyle w:val="ListParagraph"/>
        <w:numPr>
          <w:ilvl w:val="0"/>
          <w:numId w:val="2"/>
        </w:numPr>
        <w:bidi w:val="0"/>
      </w:pPr>
      <w:r>
        <w:rPr>
          <w:rtl w:val="0"/>
          <w:lang w:val="fr"/>
        </w:rPr>
        <w:t>STTA : 12 jours au cours de l'année 1 (5 jours pour la formation et 5 jours pour la supervision sur le terrain, 2 jours pour le voyage lors de l'enquête de base)</w:t>
      </w:r>
    </w:p>
    <w:p w:rsidR="00EA4D9A" w:rsidP="00EA4D9A" w14:paraId="0013CA87" w14:textId="2E860561">
      <w:pPr>
        <w:bidi w:val="0"/>
      </w:pPr>
      <w:r w:rsidRPr="00EA4D9A">
        <w:rPr>
          <w:b/>
          <w:rtl w:val="0"/>
          <w:lang w:val="fr"/>
        </w:rPr>
        <w:t xml:space="preserve">Responsables de l'administration et des finances </w:t>
      </w:r>
      <w:r>
        <w:rPr>
          <w:rtl w:val="0"/>
          <w:lang w:val="fr"/>
        </w:rPr>
        <w:t>: En fonction de la taille et de la complexité du suivi, des responsables de l'administration/des finances seront nécessaires pour diriger le plan de travail et la planification budgétaire, organiser les paiements au personnel local, organiser la logistique de la formation, les déplacements et d'autres tâches administratives. Le salaire ou le taux journalier doit être budgétisé de manière appropriée, soit environ 12 à 15 jours par an pour les deux rôles combinés. Les fonctions administratives et financières seront basées au siège.</w:t>
      </w:r>
    </w:p>
    <w:p w:rsidR="00EA4D9A" w:rsidP="00D3267D" w14:paraId="429F1C9B" w14:textId="09F9D298">
      <w:pPr>
        <w:bidi w:val="0"/>
      </w:pPr>
      <w:r w:rsidRPr="00EA4D9A">
        <w:rPr>
          <w:b/>
          <w:rtl w:val="0"/>
          <w:lang w:val="fr"/>
        </w:rPr>
        <w:t xml:space="preserve">Personnel du siège </w:t>
      </w:r>
      <w:r>
        <w:rPr>
          <w:rtl w:val="0"/>
          <w:lang w:val="fr"/>
        </w:rPr>
        <w:t>: Le personnel de soutien basé au siège peut avoir besoin d'un soutien salarial pour gérer et soutenir l'activité de surveillance de la durabilité ou peut consister en un personnel de recherche supplémentaire aidant à l'analyse et à la rédaction des résultats. Ces postes doivent être ajoutés au budget selon les besoins et les salaires doivent être budgétisés de manière appropriée.</w:t>
      </w:r>
    </w:p>
    <w:p w:rsidR="003907C3" w:rsidRPr="00A44CE4" w:rsidP="003907C3" w14:paraId="3B9B5AE2" w14:textId="6AB022B9">
      <w:pPr>
        <w:pStyle w:val="Heading2"/>
        <w:bidi w:val="0"/>
      </w:pPr>
      <w:r>
        <w:rPr>
          <w:rtl w:val="0"/>
          <w:lang w:val="fr"/>
        </w:rPr>
        <w:t>Personnel local</w:t>
      </w:r>
    </w:p>
    <w:p w:rsidR="005E0270" w:rsidP="003907C3" w14:paraId="58891A61" w14:textId="4C5E39FF">
      <w:pPr>
        <w:bidi w:val="0"/>
      </w:pPr>
      <w:r>
        <w:rPr>
          <w:rtl w:val="0"/>
          <w:lang w:val="fr"/>
        </w:rPr>
        <w:t>L'équipe de collecte locale est composée d'un co-enquêteur principal, de responsables administratifs et financiers, d'un coordinateur informatique et d'équipes de collecte de données. Le budget ci-joint suppose que ce personnel est basé dans le pays et qu'il est employé par une agence de collecte de données sous-traitante.</w:t>
      </w:r>
    </w:p>
    <w:p w:rsidR="000F78F5" w:rsidP="003907C3" w14:paraId="3B3BAD27" w14:textId="243AD39A">
      <w:pPr>
        <w:bidi w:val="0"/>
      </w:pPr>
      <w:r>
        <w:rPr>
          <w:b/>
          <w:rtl w:val="0"/>
          <w:lang w:val="fr"/>
        </w:rPr>
        <w:t xml:space="preserve">Co-enquêteur principal </w:t>
      </w:r>
      <w:r w:rsidR="003907C3">
        <w:rPr>
          <w:rtl w:val="0"/>
          <w:lang w:val="fr"/>
        </w:rPr>
        <w:t>: Le salaire ou le taux journalier doit être budgétisé pour le co-enquêteur principal (EP) du projet. Le co-enquêteur principal est responsable de la formation et du travail sur le terrain avec le personnel du partenaire de mise en œuvre, conformément au protocole.</w:t>
      </w:r>
    </w:p>
    <w:p w:rsidR="000F78F5" w:rsidP="003907C3" w14:paraId="5867D976" w14:textId="77777777"/>
    <w:p w:rsidR="00B056E7" w:rsidP="00A10DA4" w14:paraId="0844AC51" w14:textId="217E6947">
      <w:pPr>
        <w:bidi w:val="0"/>
      </w:pPr>
      <w:r>
        <w:rPr>
          <w:b/>
          <w:rtl w:val="0"/>
          <w:lang w:val="fr"/>
        </w:rPr>
        <w:t xml:space="preserve">Responsables de l'administration et des finances : </w:t>
      </w:r>
      <w:r w:rsidR="00633E1F">
        <w:rPr>
          <w:rtl w:val="0"/>
          <w:lang w:val="fr"/>
        </w:rPr>
        <w:t>En fonction de la taille et de la complexité de la surveillance, des responsables de l'administration et des finances seront nécessaires pour aider dans la gestion des demandes du CEI, à la planification du plan de travail et du budget, et à d'autres tâches administratives. Le salaire ou le taux journalier doit être budgétisé de manière appropriée, soit environ 15 à 25 jours par an pour les deux rôles combinés.</w:t>
      </w:r>
    </w:p>
    <w:p w:rsidR="00F941A7" w:rsidP="00A10DA4" w14:paraId="4A7541ED" w14:textId="34F57A61">
      <w:pPr>
        <w:bidi w:val="0"/>
      </w:pPr>
      <w:r>
        <w:rPr>
          <w:b/>
          <w:bCs/>
          <w:rtl w:val="0"/>
          <w:lang w:val="fr"/>
        </w:rPr>
        <w:t>Coordinateur informatique</w:t>
      </w:r>
      <w:r w:rsidRPr="003C59E2" w:rsidR="003C59E2">
        <w:rPr>
          <w:rtl w:val="0"/>
          <w:lang w:val="fr"/>
        </w:rPr>
        <w:t xml:space="preserve"> Le salaire ou le taux journalier doit être budgétisé pour le coordinateur informatique, qui gère l'installation et la maintenance des tablettes de l'étude pendant toute la durée de l'étude.</w:t>
      </w:r>
    </w:p>
    <w:p w:rsidR="00AD1562" w:rsidP="00AD1562" w14:paraId="529698A4" w14:textId="0DF9D2C1">
      <w:pPr>
        <w:bidi w:val="0"/>
      </w:pPr>
      <w:r>
        <w:rPr>
          <w:b/>
          <w:bCs/>
          <w:rtl w:val="0"/>
          <w:lang w:val="fr"/>
        </w:rPr>
        <w:t xml:space="preserve">Équipe de collecte des données : </w:t>
      </w:r>
      <w:r w:rsidR="00937038">
        <w:rPr>
          <w:rtl w:val="0"/>
          <w:lang w:val="fr"/>
        </w:rPr>
        <w:t xml:space="preserve">Chaque équipe de collecte de données est composée de 2 collecteurs de données. Ces équipes sont chargées d'assister aux formations, d'effectuer le travail sur le terrain et de réaliser les évaluations des trous des moustiquaires dans le laboratoire. Le nombre d'équipes de terrain peut être modifié en ajustant le nombre dans l'espace réservé aux équipes de terrain en haut à gauche du modèle de budget (surligné en jaune) ; il sera automatiquement ajusté pour chaque période budgétaire. </w:t>
      </w:r>
    </w:p>
    <w:p w:rsidR="00463411" w:rsidRPr="002D2877" w:rsidP="00AD1562" w14:paraId="78EED863" w14:textId="5D260728">
      <w:pPr>
        <w:bidi w:val="0"/>
      </w:pPr>
      <w:r>
        <w:rPr>
          <w:b/>
          <w:bCs/>
          <w:rtl w:val="0"/>
          <w:lang w:val="fr"/>
        </w:rPr>
        <w:t>Technicien de laboratoire :</w:t>
      </w:r>
      <w:r>
        <w:rPr>
          <w:rtl w:val="0"/>
          <w:lang w:val="fr"/>
        </w:rPr>
        <w:t xml:space="preserve"> Le salaire ou le taux journalier doit être budgétisé pour un technicien de laboratoire. Cette personne est chargée d'élever et de maintenir les colonies de moustiques pendant 2 mois au cours de chaque cycle de l'étude.</w:t>
      </w:r>
    </w:p>
    <w:p w:rsidR="00A10DA4" w:rsidP="00A10DA4" w14:paraId="0A8A961B" w14:textId="4693AD42">
      <w:pPr>
        <w:bidi w:val="0"/>
      </w:pPr>
      <w:r>
        <w:rPr>
          <w:b/>
          <w:bCs/>
          <w:rtl w:val="0"/>
          <w:lang w:val="fr"/>
        </w:rPr>
        <w:t>PNLP :</w:t>
      </w:r>
      <w:r>
        <w:rPr>
          <w:rtl w:val="0"/>
          <w:lang w:val="fr"/>
        </w:rPr>
        <w:t xml:space="preserve"> Le budget ci-joint suggère en outre qu'un représentant du PNLP par site se joigne à l'équipe de terrain. Le personnel du ministère de la santé ou du PNLP qui supervise ou aide à la surveillance reçoit normalement une indemnité journalière de subsistance et un logement, mais pas de per diem. </w:t>
      </w:r>
    </w:p>
    <w:p w:rsidR="00A44CE4" w:rsidP="00A44CE4" w14:paraId="7C813FE8" w14:textId="406C9359">
      <w:pPr>
        <w:pStyle w:val="Heading2"/>
        <w:bidi w:val="0"/>
      </w:pPr>
      <w:r w:rsidRPr="00DF2960">
        <w:rPr>
          <w:rtl w:val="0"/>
          <w:lang w:val="fr"/>
        </w:rPr>
        <w:t>Marge</w:t>
      </w:r>
    </w:p>
    <w:p w:rsidR="00DF2960" w:rsidP="00D3267D" w14:paraId="027E97C4" w14:textId="7F06BDFC">
      <w:pPr>
        <w:bidi w:val="0"/>
      </w:pPr>
      <w:r>
        <w:rPr>
          <w:rtl w:val="0"/>
          <w:lang w:val="fr"/>
        </w:rPr>
        <w:t xml:space="preserve">Les organisations partenaires de mise en œuvre dont le personnel est salarié doivent inclure les taux marginaux dans leur budget (les taux marginaux comprennent généralement les avantages standard du personnel à un pourcentage fixe basé sur le niveau total d'effort budgétisé). </w:t>
      </w:r>
    </w:p>
    <w:p w:rsidR="00827188" w:rsidRPr="002D2877" w:rsidP="00827188" w14:paraId="67268ACE" w14:textId="3CB8E6CA">
      <w:pPr>
        <w:bidi w:val="0"/>
      </w:pPr>
      <w:r w:rsidRPr="00D1034B">
        <w:rPr>
          <w:rtl w:val="0"/>
          <w:lang w:val="fr"/>
        </w:rPr>
        <w:t xml:space="preserve">Une marge annuelle de 35% a été retenue pour le budget ci-joint. Vous pouvez la modifier en ajustant le taux dans l'espace réservé à la marge pour le personnel en haut à gauche du modèle de budget (surligné en jaune) ; elle sera automatiquement ajustée pour chaque période budgétaire. </w:t>
      </w:r>
    </w:p>
    <w:p w:rsidR="00DF2960" w:rsidP="00DF2960" w14:paraId="4D90FED6" w14:textId="77777777">
      <w:pPr>
        <w:pStyle w:val="Heading1"/>
        <w:bidi w:val="0"/>
      </w:pPr>
      <w:r>
        <w:rPr>
          <w:rtl w:val="0"/>
          <w:lang w:val="fr"/>
        </w:rPr>
        <w:t>Déplacements</w:t>
      </w:r>
    </w:p>
    <w:p w:rsidR="00B11B17" w:rsidRPr="00B11B17" w:rsidP="00B11B17" w14:paraId="5DFE1C16" w14:textId="036355E1">
      <w:pPr>
        <w:bidi w:val="0"/>
      </w:pPr>
      <w:r>
        <w:rPr>
          <w:rtl w:val="0"/>
          <w:lang w:val="fr"/>
        </w:rPr>
        <w:t xml:space="preserve">Comme indiqué ci-dessus, dans le modèle de budget, tous les coûts liés à l'équipe de terrain, y compris les frais de déplacement, sont regroupés dans la catégorie des autres coûts directs et le budget des déplacements ne couvre donc que les coûts liés au personnel du partenaire de mise en œuvre. Alternativement, les frais de déplacement des équipes de terrain peuvent être budgétisés dans cette section. </w:t>
      </w:r>
    </w:p>
    <w:p w:rsidR="008E2DCC" w:rsidP="008E2DCC" w14:paraId="24066469" w14:textId="66A0879D">
      <w:pPr>
        <w:pStyle w:val="Heading2"/>
        <w:bidi w:val="0"/>
      </w:pPr>
      <w:r w:rsidRPr="00BA55A3">
        <w:rPr>
          <w:rtl w:val="0"/>
          <w:lang w:val="fr"/>
        </w:rPr>
        <w:t>Voyages internationaux</w:t>
      </w:r>
    </w:p>
    <w:p w:rsidR="00DF2960" w:rsidP="00D3267D" w14:paraId="4E8D4045" w14:textId="7BD2AEDA">
      <w:pPr>
        <w:bidi w:val="0"/>
      </w:pPr>
      <w:r>
        <w:rPr>
          <w:rtl w:val="0"/>
          <w:lang w:val="fr"/>
        </w:rPr>
        <w:t xml:space="preserve">Si la supervision ou l'assistance technique à court terme (STTA) est fournie par le partenaire de mise en œuvre ou si d'autres formes de soutien sont fournies par des consultants basés à l'étranger, les frais de déplacement à l'international doivent être budgétisés de manière appropriée et comprennent les billets d'avion, les per diem, l'hébergement et les frais de transport terrestre/transfert aéroportuaire/visa. Les frais accessoires, tels que l'excédent de bagages, peuvent également être budgétisés pour le transport du matériel de surveillance, si nécessaire. </w:t>
      </w:r>
    </w:p>
    <w:p w:rsidR="00BA55A3" w:rsidP="008E2DCC" w14:paraId="1BE77075" w14:textId="5739FCB5">
      <w:pPr>
        <w:pStyle w:val="Heading2"/>
        <w:bidi w:val="0"/>
      </w:pPr>
      <w:r w:rsidRPr="00BA55A3">
        <w:rPr>
          <w:rtl w:val="0"/>
          <w:lang w:val="fr"/>
        </w:rPr>
        <w:t>Déplacements locaux</w:t>
      </w:r>
    </w:p>
    <w:p w:rsidR="002428F1" w:rsidP="00D3267D" w14:paraId="4C58FFB0" w14:textId="7A3C0A72">
      <w:pPr>
        <w:bidi w:val="0"/>
      </w:pPr>
      <w:r w:rsidRPr="005A63BA">
        <w:rPr>
          <w:rtl w:val="0"/>
          <w:lang w:val="fr"/>
        </w:rPr>
        <w:t xml:space="preserve">Les frais de transport aérien et/ou de location de véhicule doivent être budgétisés pour les déplacements du personnel d'encadrement vers les sites de formation et de surveillance. </w:t>
      </w:r>
    </w:p>
    <w:p w:rsidR="002428F1" w:rsidP="00AB383E" w14:paraId="1CD44A5A" w14:textId="7B46F833">
      <w:pPr>
        <w:pStyle w:val="Heading1"/>
        <w:bidi w:val="0"/>
      </w:pPr>
      <w:r>
        <w:rPr>
          <w:rtl w:val="0"/>
          <w:lang w:val="fr"/>
        </w:rPr>
        <w:t>Équipement/fournitures extensibles</w:t>
      </w:r>
    </w:p>
    <w:p w:rsidR="00DE19C1" w:rsidP="00D3267D" w14:paraId="3B44FF69" w14:textId="669E0A10">
      <w:pPr>
        <w:bidi w:val="0"/>
      </w:pPr>
      <w:r>
        <w:rPr>
          <w:rtl w:val="0"/>
          <w:lang w:val="fr"/>
        </w:rPr>
        <w:t>L'équipement comprend les articles qui seront utilisés lors de chaque cycle de collecte de données. Les fournitures extensibles peuvent inclure les matériaux qui devront être rachetés à chaque cycle d'étude (c'est-à-dire les blocs-notes, les stylos, les crayons, les copies, etc.). Si le budget prévoit une collecte de données sur papier, les planificateurs doivent se demander si les services d'impression ou l'achat d'une imprimante seront les plus rentables et les plus pratiques d'un point de vue logistique.</w:t>
      </w:r>
    </w:p>
    <w:p w:rsidR="008B7E41" w:rsidP="008B7E41" w14:paraId="60ECB583" w14:textId="4442EEF2">
      <w:pPr>
        <w:pStyle w:val="Heading1"/>
        <w:bidi w:val="0"/>
      </w:pPr>
      <w:r>
        <w:rPr>
          <w:rtl w:val="0"/>
          <w:lang w:val="fr"/>
        </w:rPr>
        <w:t>Activités/Autres coûts directs</w:t>
      </w:r>
    </w:p>
    <w:p w:rsidR="00CE1106" w:rsidP="005B5756" w14:paraId="3688A20B" w14:textId="77777777">
      <w:pPr>
        <w:pStyle w:val="Heading2"/>
        <w:bidi w:val="0"/>
      </w:pPr>
      <w:r>
        <w:rPr>
          <w:rtl w:val="0"/>
          <w:lang w:val="fr"/>
        </w:rPr>
        <w:t>Général</w:t>
      </w:r>
    </w:p>
    <w:p w:rsidR="007C6EB1" w:rsidP="00CE1106" w14:paraId="6EEF1D2F" w14:textId="252A3A24">
      <w:pPr>
        <w:pStyle w:val="Heading3"/>
        <w:bidi w:val="0"/>
      </w:pPr>
      <w:r>
        <w:rPr>
          <w:rtl w:val="0"/>
          <w:lang w:val="fr"/>
        </w:rPr>
        <w:t>Examen éthique/soumission à un comité d'examen institutionnel (CEI)</w:t>
      </w:r>
    </w:p>
    <w:p w:rsidR="007C6EB1" w:rsidP="007C6EB1" w14:paraId="663F8CA2" w14:textId="4C8956E6">
      <w:pPr>
        <w:bidi w:val="0"/>
      </w:pPr>
      <w:r>
        <w:rPr>
          <w:rtl w:val="0"/>
          <w:lang w:val="fr"/>
        </w:rPr>
        <w:t>Il y a souvent des coûts pour soumettre les demandes du CEI aux comités d'examen éthique locaux appropriés et au comité associé au partenaire principal de mise en œuvre. Ces coûts peuvent être minimes (&lt;100 dollars) mais ne doivent pas être négligés. En outre, les coûts de traduction des documents, de photocopie et de reliure des documents à examiner doivent être inclus si nécessaire.</w:t>
      </w:r>
    </w:p>
    <w:p w:rsidR="008E66DF" w:rsidP="008E66DF" w14:paraId="257D0032" w14:textId="2F56709A">
      <w:pPr>
        <w:pStyle w:val="Heading3"/>
        <w:bidi w:val="0"/>
      </w:pPr>
      <w:r>
        <w:rPr>
          <w:rtl w:val="0"/>
          <w:lang w:val="fr"/>
        </w:rPr>
        <w:t>Traduction du rapport</w:t>
      </w:r>
    </w:p>
    <w:p w:rsidR="008E66DF" w:rsidP="008E66DF" w14:paraId="62CC6303" w14:textId="1BA3C9FC">
      <w:pPr>
        <w:bidi w:val="0"/>
      </w:pPr>
      <w:r>
        <w:rPr>
          <w:rtl w:val="0"/>
          <w:lang w:val="fr"/>
        </w:rPr>
        <w:t>Le besoin de traduction des rapports peut être ajusté dans le coin supérieur gauche (surligné en jaune) de la feuille. Le modèle de budget est configuré pour calculer automatiquement des lignes budgétaires variables en fonction de la nécessité d'une traduction.</w:t>
      </w:r>
    </w:p>
    <w:p w:rsidR="00CE1106" w:rsidP="00D9197B" w14:paraId="34A8C8B0" w14:textId="77777777">
      <w:pPr>
        <w:pStyle w:val="Heading3"/>
        <w:bidi w:val="0"/>
      </w:pPr>
      <w:r>
        <w:rPr>
          <w:rtl w:val="0"/>
          <w:lang w:val="fr"/>
        </w:rPr>
        <w:t>Diffusion des résultats</w:t>
      </w:r>
    </w:p>
    <w:p w:rsidR="00CE1106" w:rsidP="00CE1106" w14:paraId="4A27E945" w14:textId="687DB6D2">
      <w:pPr>
        <w:bidi w:val="0"/>
      </w:pPr>
      <w:r>
        <w:rPr>
          <w:rtl w:val="0"/>
          <w:lang w:val="fr"/>
        </w:rPr>
        <w:t xml:space="preserve">La diffusion des résultats après chaque phase de travail sur le terrain et au stade final doit être budgétisée de manière appropriée et en fonction du plan de travail ; souvent, les résultats peuvent être présentés lors de réunions de coordination du PMI ou du PNLP existantes dans le pays ou lors de webinaires pour un coût faible ou nul. Les ateliers d'analyse de données dans lesquels les collaborateurs locaux sont formés et/ou guidés sur les étapes d'analyse pour la surveillance de la durabilité peuvent impliquer des coûts d'environ 3 000 dollars en fonction du lieu, du nombre de participants et des frais de déplacement des participants (les frais de déplacement de l'EP sont inclus dans la section Déplacements) </w:t>
      </w:r>
    </w:p>
    <w:p w:rsidR="00CE1106" w:rsidP="00CE1106" w14:paraId="782CD407" w14:textId="140FCB89">
      <w:pPr>
        <w:bidi w:val="0"/>
      </w:pPr>
      <w:r>
        <w:rPr>
          <w:rtl w:val="0"/>
          <w:lang w:val="fr"/>
        </w:rPr>
        <w:t xml:space="preserve">Les frais de publication doivent être inclus dans le budget. À titre d'exemple, les frais de publication du Malaria Journal sont d'environ 2 500 dollars, avec des réductions pour les institutions membres. </w:t>
      </w:r>
    </w:p>
    <w:p w:rsidR="00CE1106" w:rsidRPr="007C6EB1" w:rsidP="007C6EB1" w14:paraId="3EFB64C8" w14:textId="5BF32379">
      <w:pPr>
        <w:bidi w:val="0"/>
      </w:pPr>
      <w:r>
        <w:rPr>
          <w:rtl w:val="0"/>
          <w:lang w:val="fr"/>
        </w:rPr>
        <w:t>Le temps d'analyse et de rédaction doit être inclus dans la section Personnel comme décrit ci-dessus.</w:t>
      </w:r>
    </w:p>
    <w:p w:rsidR="005B5756" w:rsidP="005B5756" w14:paraId="5FD25E75" w14:textId="714C5F10">
      <w:pPr>
        <w:pStyle w:val="Heading2"/>
        <w:bidi w:val="0"/>
      </w:pPr>
      <w:r w:rsidRPr="00A75A7D">
        <w:rPr>
          <w:rtl w:val="0"/>
          <w:lang w:val="fr"/>
        </w:rPr>
        <w:t>Formation</w:t>
      </w:r>
    </w:p>
    <w:p w:rsidR="00A10DA4" w:rsidP="008B7E41" w14:paraId="670DD225" w14:textId="161D8A40">
      <w:pPr>
        <w:bidi w:val="0"/>
      </w:pPr>
      <w:r>
        <w:rPr>
          <w:rtl w:val="0"/>
          <w:lang w:val="fr"/>
        </w:rPr>
        <w:t xml:space="preserve">Les coûts de formation comprendront l'hébergement et les per diem des participants (s'ils ne sont pas déjà inclus dans les déplacements locaux, ci-dessus), la location de la salle, y compris les besoins audiovisuels (par exemple, un projecteur), le tarif journalier des participants (s'il n'est pas déjà inclus dans les coûts de personnel, ci-dessus), l'impression du matériel de formation, la location d'un véhicule ou d'un taxi pour se rendre sur le terrain d'analyse pendant la formation, et tous les coûts associés à la coordination locale, tels que la participation au PNLP, la participation d'un fonctionnaire du gouvernement local pour aider à planifier le calendrier/plan de déplacement et l'accès aux groupes sélectionnés, etc. Notez qu'il est bon de former plus de stagiaires que ceux qui seront finalement sélectionnés pour le travail sur le terrain ; cela permet au coordinateur et/ou au superviseur de la surveillance de s'assurer que l'équipe la plus compétente est envoyée sur le terrain. La formation doit être planifiée pour 3 jours lors du cycle de base et 2 jours pour les cycles de suivi. </w:t>
      </w:r>
    </w:p>
    <w:p w:rsidR="00A10DA4" w:rsidP="00A10DA4" w14:paraId="78BF0248" w14:textId="3EFA485E">
      <w:pPr>
        <w:bidi w:val="0"/>
      </w:pPr>
      <w:r>
        <w:rPr>
          <w:rtl w:val="0"/>
          <w:lang w:val="fr"/>
        </w:rPr>
        <w:t>Jours de travail de l'équipe de terrain :</w:t>
      </w:r>
    </w:p>
    <w:p w:rsidR="00D35160" w:rsidP="00D35160" w14:paraId="43A740A4" w14:textId="34E796F3">
      <w:pPr>
        <w:pStyle w:val="ListParagraph"/>
        <w:numPr>
          <w:ilvl w:val="0"/>
          <w:numId w:val="2"/>
        </w:numPr>
        <w:bidi w:val="0"/>
      </w:pPr>
      <w:r>
        <w:rPr>
          <w:rtl w:val="0"/>
          <w:lang w:val="fr"/>
        </w:rPr>
        <w:t>Formation : 3 jours lors du cycle de base en personne ; 2 jours lors du suivi en ligne</w:t>
      </w:r>
    </w:p>
    <w:p w:rsidR="00E276C2" w:rsidP="008B7E41" w14:paraId="469FFC8F" w14:textId="397DF7F9">
      <w:pPr>
        <w:bidi w:val="0"/>
      </w:pPr>
      <w:r>
        <w:rPr>
          <w:rtl w:val="0"/>
          <w:lang w:val="fr"/>
        </w:rPr>
        <w:t xml:space="preserve">Dans le budget ci-joint, il est supposé que toutes les équipes de terrain suivent la même formation au départ. En fonction du contexte, il peut être nécessaire d'organiser une formation différente pour chaque site et d'ajouter des coûts supplémentaires pour le lieu de formation. </w:t>
      </w:r>
    </w:p>
    <w:p w:rsidR="00A75A7D" w:rsidP="002D2877" w14:paraId="54116DB4" w14:textId="719FFF49">
      <w:pPr>
        <w:pStyle w:val="Heading2"/>
        <w:bidi w:val="0"/>
      </w:pPr>
      <w:r>
        <w:rPr>
          <w:rtl w:val="0"/>
          <w:lang w:val="fr"/>
        </w:rPr>
        <w:t xml:space="preserve">Travail de terrain </w:t>
      </w:r>
    </w:p>
    <w:p w:rsidR="00A10DA4" w:rsidP="00CE1106" w14:paraId="22B715BE" w14:textId="7FECD374">
      <w:pPr>
        <w:bidi w:val="0"/>
      </w:pPr>
      <w:r>
        <w:rPr>
          <w:rtl w:val="0"/>
          <w:lang w:val="fr"/>
        </w:rPr>
        <w:t xml:space="preserve">S'ils ne sont pas déjà inclus ailleurs, le taux journalier de l'équipe de terrain, la location de véhicules ou d'autres coûts de transport doivent être budgétisés pour couvrir leur temps et faciliter leur déplacement vers chaque grappe pour la collecte de données. Les déplacements locaux doivent inclure les per diem et le logement des superviseurs. </w:t>
      </w:r>
    </w:p>
    <w:p w:rsidR="00A10DA4" w:rsidP="00A10DA4" w14:paraId="79346B51" w14:textId="5F96C8FA">
      <w:pPr>
        <w:bidi w:val="0"/>
      </w:pPr>
      <w:r>
        <w:rPr>
          <w:rtl w:val="0"/>
          <w:lang w:val="fr"/>
        </w:rPr>
        <w:t>Jours de travail de l'équipe de terrain :</w:t>
      </w:r>
    </w:p>
    <w:p w:rsidR="00015310" w:rsidP="00015310" w14:paraId="126438C7" w14:textId="70DFEDA4">
      <w:pPr>
        <w:pStyle w:val="ListParagraph"/>
        <w:numPr>
          <w:ilvl w:val="0"/>
          <w:numId w:val="2"/>
        </w:numPr>
        <w:bidi w:val="0"/>
      </w:pPr>
      <w:r>
        <w:rPr>
          <w:rtl w:val="0"/>
          <w:lang w:val="fr"/>
        </w:rPr>
        <w:t>Travail sur le terrain : Ceci est basé sur 15 grappes par site, avec 1 grappe comprenant 14 ménages visités par jour pour 1 équipe de terrain. L'approche budgétisée suppose qu'un site est couvert par une seule équipe, c'est-à-dire 15 grappes en 15 jours de travail. Dans les situations où plus d'une équipe est utilisée, les équipes peuvent travailler simultanément pour compléter la collecte de données en moins de temps, mais alors les coûts d'équipement, de fourniture et de formation augmenteront.</w:t>
      </w:r>
    </w:p>
    <w:p w:rsidR="00512B97" w:rsidP="00512B97" w14:paraId="21FB4E31" w14:textId="222F5D17">
      <w:pPr>
        <w:pStyle w:val="ListParagraph"/>
        <w:numPr>
          <w:ilvl w:val="1"/>
          <w:numId w:val="2"/>
        </w:numPr>
        <w:bidi w:val="0"/>
      </w:pPr>
      <w:r w:rsidRPr="00E32F5A">
        <w:rPr>
          <w:b/>
          <w:bCs/>
          <w:rtl w:val="0"/>
          <w:lang w:val="fr"/>
        </w:rPr>
        <w:t xml:space="preserve">Base de référence </w:t>
      </w:r>
      <w:r>
        <w:rPr>
          <w:rtl w:val="0"/>
          <w:lang w:val="fr"/>
        </w:rPr>
        <w:t>:</w:t>
      </w:r>
    </w:p>
    <w:p w:rsidR="00904556" w:rsidP="00904556" w14:paraId="2E2CBAA3" w14:textId="51AD2942">
      <w:pPr>
        <w:pStyle w:val="ListParagraph"/>
        <w:numPr>
          <w:ilvl w:val="2"/>
          <w:numId w:val="2"/>
        </w:numPr>
        <w:bidi w:val="0"/>
      </w:pPr>
      <w:r>
        <w:rPr>
          <w:rtl w:val="0"/>
          <w:lang w:val="fr"/>
        </w:rPr>
        <w:t>1 équipe environ 17 jours pour compléter la collecte de données dans un site, y compris les déplacements.</w:t>
      </w:r>
    </w:p>
    <w:p w:rsidR="00512B97" w:rsidP="00512B97" w14:paraId="63235135" w14:textId="45FC8FDB">
      <w:pPr>
        <w:pStyle w:val="ListParagraph"/>
        <w:numPr>
          <w:ilvl w:val="1"/>
          <w:numId w:val="2"/>
        </w:numPr>
        <w:bidi w:val="0"/>
      </w:pPr>
      <w:r w:rsidRPr="00E32F5A">
        <w:rPr>
          <w:b/>
          <w:bCs/>
          <w:rtl w:val="0"/>
          <w:lang w:val="fr"/>
        </w:rPr>
        <w:t xml:space="preserve">Suivi </w:t>
      </w:r>
      <w:r>
        <w:rPr>
          <w:rtl w:val="0"/>
          <w:lang w:val="fr"/>
        </w:rPr>
        <w:t>:</w:t>
      </w:r>
    </w:p>
    <w:p w:rsidR="00512B97" w:rsidRPr="00AF1C41" w:rsidP="00512B97" w14:paraId="585A838B" w14:textId="018FDD35">
      <w:pPr>
        <w:pStyle w:val="ListParagraph"/>
        <w:numPr>
          <w:ilvl w:val="2"/>
          <w:numId w:val="2"/>
        </w:numPr>
        <w:bidi w:val="0"/>
      </w:pPr>
      <w:r w:rsidRPr="00AF1C41">
        <w:rPr>
          <w:rtl w:val="0"/>
          <w:lang w:val="fr"/>
        </w:rPr>
        <w:t>1 équipe : environ 8 jours pour effectuer la collecte de données sur un site, y compris les déplacements</w:t>
      </w:r>
    </w:p>
    <w:p w:rsidR="00CE1106" w:rsidP="008B7E41" w14:paraId="3B454462" w14:textId="77777777">
      <w:pPr>
        <w:bidi w:val="0"/>
      </w:pPr>
      <w:r>
        <w:rPr>
          <w:rtl w:val="0"/>
          <w:lang w:val="fr"/>
        </w:rPr>
        <w:t>D'autres coûts de travail sur le terrain pourraient inclure :</w:t>
      </w:r>
    </w:p>
    <w:p w:rsidR="00B11B17" w:rsidP="00A10DA4" w14:paraId="6512C408" w14:textId="4151924E">
      <w:pPr>
        <w:pStyle w:val="ListParagraph"/>
        <w:numPr>
          <w:ilvl w:val="0"/>
          <w:numId w:val="8"/>
        </w:numPr>
        <w:bidi w:val="0"/>
      </w:pPr>
      <w:r>
        <w:rPr>
          <w:rtl w:val="0"/>
          <w:lang w:val="fr"/>
        </w:rPr>
        <w:t>L'impression des outils d'énumération et de sélection des ménages ; l'impression des aides au travail et des outils ; (si cela est fait)</w:t>
      </w:r>
    </w:p>
    <w:p w:rsidR="0048221A" w:rsidP="00A10DA4" w14:paraId="71668CD4" w14:textId="122F16F9">
      <w:pPr>
        <w:pStyle w:val="ListParagraph"/>
        <w:numPr>
          <w:ilvl w:val="0"/>
          <w:numId w:val="8"/>
        </w:numPr>
        <w:bidi w:val="0"/>
      </w:pPr>
      <w:r>
        <w:rPr>
          <w:rtl w:val="0"/>
          <w:lang w:val="fr"/>
        </w:rPr>
        <w:t>Crédits de communication pour les collecteurs de données sur le terrain</w:t>
      </w:r>
    </w:p>
    <w:p w:rsidR="00D34EAA" w:rsidP="00A10DA4" w14:paraId="7C435062" w14:textId="53421C45">
      <w:pPr>
        <w:pStyle w:val="ListParagraph"/>
        <w:numPr>
          <w:ilvl w:val="0"/>
          <w:numId w:val="8"/>
        </w:numPr>
        <w:bidi w:val="0"/>
      </w:pPr>
      <w:r>
        <w:rPr>
          <w:rtl w:val="0"/>
          <w:lang w:val="fr"/>
        </w:rPr>
        <w:t>Coût de location d'un véhicule pour chaque équipe de terrain</w:t>
      </w:r>
    </w:p>
    <w:p w:rsidR="00446748" w:rsidP="00446748" w14:paraId="522BE6BE" w14:textId="49A63BF4">
      <w:pPr>
        <w:pStyle w:val="Heading2"/>
        <w:bidi w:val="0"/>
      </w:pPr>
      <w:r>
        <w:rPr>
          <w:rtl w:val="0"/>
          <w:lang w:val="fr"/>
        </w:rPr>
        <w:t>Travail de laboratoire</w:t>
      </w:r>
    </w:p>
    <w:p w:rsidR="00083888" w:rsidP="0092586D" w14:paraId="3336DB8C" w14:textId="65BC6EE9">
      <w:pPr>
        <w:bidi w:val="0"/>
      </w:pPr>
      <w:r>
        <w:rPr>
          <w:rtl w:val="0"/>
          <w:lang w:val="fr"/>
        </w:rPr>
        <w:t>Une fois le travail sur le terrain terminé, les moustiquaires seront transportées au laboratoire de recherche. Les véhicules utilisés pour le transport doivent être suffisamment grands pour accueillir le conducteur, les deux chercheurs et un espace pour 45 moustiquaires ensachées. Chaque équipe de terrain effectuera une évaluation des trous sur les moustiquaires de la cohorte. Les moustiquaires seront ensuite échantillonnées pour les essais biologiques et les tests de teneur en insecticide.</w:t>
      </w:r>
    </w:p>
    <w:p w:rsidR="0087647E" w:rsidP="0087647E" w14:paraId="7C8EEBE7" w14:textId="77777777">
      <w:pPr>
        <w:pStyle w:val="Heading3"/>
        <w:bidi w:val="0"/>
      </w:pPr>
      <w:r>
        <w:rPr>
          <w:rtl w:val="0"/>
          <w:lang w:val="fr"/>
        </w:rPr>
        <w:t>Essais biologiques (pré-distribution)</w:t>
      </w:r>
    </w:p>
    <w:p w:rsidR="0087647E" w:rsidP="0087647E" w14:paraId="11FCFEEC" w14:textId="79D89F1B">
      <w:pPr>
        <w:bidi w:val="0"/>
      </w:pPr>
      <w:r>
        <w:rPr>
          <w:rtl w:val="0"/>
          <w:lang w:val="fr"/>
        </w:rPr>
        <w:t xml:space="preserve">10 moustiquaires (par site/marque) seront disponibles pour les tests biologiques avant la campagne de distribution. Les coûts comprennent le transport des moustiquaires jusqu'au centre de test (si international - environ 1 000 dollars par site) et les coûts des tests biologiques. Les coûts des tests biologiques dépendent du type de MII. Les coûts du PBO peuvent être calculés pour les moustiquaires avec PBO sur tous les côtés de la moustiquaire ou sur la face du dessus uniquement. </w:t>
      </w:r>
    </w:p>
    <w:p w:rsidR="00C419A5" w:rsidP="0092586D" w14:paraId="53D92B70" w14:textId="11C70BAB">
      <w:pPr>
        <w:bidi w:val="0"/>
      </w:pPr>
      <w:r>
        <w:rPr>
          <w:rtl w:val="0"/>
          <w:lang w:val="fr"/>
        </w:rPr>
        <w:t>Les coûts présentés dans la section sur les tests biologiques de ce budget ne concernent que les consommables. Les coûts de l'élevage des moustiques et de la main-d'œuvre sont présentés dans la section 1.2 Personnel local.</w:t>
      </w:r>
    </w:p>
    <w:p w:rsidR="000D70AC" w:rsidP="000D70AC" w14:paraId="49913DAC" w14:textId="7779CE0A">
      <w:pPr>
        <w:pStyle w:val="Heading3"/>
        <w:bidi w:val="0"/>
      </w:pPr>
      <w:r>
        <w:rPr>
          <w:rtl w:val="0"/>
          <w:lang w:val="fr"/>
        </w:rPr>
        <w:t>Essais biologiques (base de référence)</w:t>
      </w:r>
    </w:p>
    <w:p w:rsidR="000D70AC" w:rsidP="000D70AC" w14:paraId="63F7C128" w14:textId="3EC9D834">
      <w:pPr>
        <w:bidi w:val="0"/>
      </w:pPr>
      <w:r w:rsidRPr="00704D30">
        <w:rPr>
          <w:rtl w:val="0"/>
          <w:lang w:val="fr"/>
        </w:rPr>
        <w:t xml:space="preserve">Sacs pour recueillir les moustiquaires pour les tests d'insecticides ; moustiquaires de remplacement (30 par site) ; transport des moustiquaires vers le centre de test (si international - environ 1 000 dollars par site) et coûts des tests biologiques (30 moustiquaires par site). Les coûts des tests biologiques dépendent du type de MII. Les coûts du PBO peuvent être calculés pour les moustiquaires avec PBO sur tous les côtés de la moustiquaire ou sur la face du dessus uniquement. </w:t>
      </w:r>
    </w:p>
    <w:p w:rsidR="000D70AC" w:rsidP="0092586D" w14:paraId="1C176BDA" w14:textId="39045D3D">
      <w:pPr>
        <w:bidi w:val="0"/>
      </w:pPr>
      <w:r>
        <w:rPr>
          <w:rtl w:val="0"/>
          <w:lang w:val="fr"/>
        </w:rPr>
        <w:t>Les coûts présentés dans la section sur les tests biologiques de ce budget ne concernent que les consommables. Les coûts de l'élevage des moustiques et de la main-d'œuvre sont présentés dans la section 1.2 Personnel local.</w:t>
      </w:r>
    </w:p>
    <w:p w:rsidR="00834E80" w:rsidP="00834E80" w14:paraId="0FC70FD7" w14:textId="4F64C635">
      <w:pPr>
        <w:pStyle w:val="Heading3"/>
        <w:bidi w:val="0"/>
      </w:pPr>
      <w:r>
        <w:rPr>
          <w:rtl w:val="0"/>
          <w:lang w:val="fr"/>
        </w:rPr>
        <w:t>Essais biologiques (suivi)</w:t>
      </w:r>
    </w:p>
    <w:p w:rsidR="00834E80" w:rsidP="00834E80" w14:paraId="62B770F0" w14:textId="389DAC49">
      <w:pPr>
        <w:bidi w:val="0"/>
      </w:pPr>
      <w:r w:rsidRPr="00704D30">
        <w:rPr>
          <w:rtl w:val="0"/>
          <w:lang w:val="fr"/>
        </w:rPr>
        <w:t xml:space="preserve">Sacs pour recueillir les moustiquaires pour les tests d'insecticides ; moustiquaires de remplacement (30 par site au départ et 45 par site pendant le suivi) ; transport des moustiquaires vers le centre de test (si international - environ 1 000 dollars par site) et coûts des tests biologiques (45 moustiquaires par site). Les coûts des tests biologiques dépendent du type de MII. Les coûts du PBO peuvent être calculés pour les moustiquaires avec PBO sur tous les côtés de la moustiquaire ou sur la face du dessus uniquement. </w:t>
      </w:r>
    </w:p>
    <w:p w:rsidR="004354BD" w:rsidP="00834E80" w14:paraId="64DFA3AA" w14:textId="32E34F8C">
      <w:pPr>
        <w:bidi w:val="0"/>
      </w:pPr>
      <w:r>
        <w:rPr>
          <w:rtl w:val="0"/>
          <w:lang w:val="fr"/>
        </w:rPr>
        <w:t>Les coûts présentés dans la section sur les tests biologiques de ce budget ne concernent que les consommables. Les coûts de l'élevage des moustiques et de la main-d'œuvre sont présentés dans la section 1.2 Personnel local.</w:t>
      </w:r>
    </w:p>
    <w:p w:rsidR="00834E80" w:rsidP="00834E80" w14:paraId="32748C1E" w14:textId="77777777">
      <w:pPr>
        <w:pStyle w:val="Heading3"/>
        <w:bidi w:val="0"/>
      </w:pPr>
      <w:r>
        <w:rPr>
          <w:rtl w:val="0"/>
          <w:lang w:val="fr"/>
        </w:rPr>
        <w:t>Test de la teneur en insecticide</w:t>
      </w:r>
    </w:p>
    <w:p w:rsidR="00446748" w:rsidP="00834E80" w14:paraId="1D7FFD7A" w14:textId="2EF18F85">
      <w:pPr>
        <w:bidi w:val="0"/>
      </w:pPr>
      <w:r>
        <w:rPr>
          <w:rtl w:val="0"/>
          <w:lang w:val="fr"/>
        </w:rPr>
        <w:t>Expédition des moustiquaires vers un centre d'essai international (1 000 dollars par site) ; analyse chimique technique (45 moustiquaires par site). Les coûts des tests de la teneur en insecticide dépendent du type de MII. Les coûts du PBO peuvent être calculés pour les moustiquaires avec PBO sur tous les côtés de la moustiquaire ou sur la face du dessus uniquement. Le besoin de tests chimiques internationaux doit être ajusté dans le coin supérieur gauche (surligné en jaune) de la feuille. Le modèle de budget est configuré pour calculer automatiquement les lignes budgétaires qui varient en fonction de la nécessité de procéder à des tests chimiques.</w:t>
      </w:r>
    </w:p>
    <w:p w:rsidR="007C6EB1" w:rsidP="007C6EB1" w14:paraId="5459EA84" w14:textId="01AAE463">
      <w:pPr>
        <w:pStyle w:val="Heading1"/>
        <w:bidi w:val="0"/>
      </w:pPr>
      <w:r>
        <w:rPr>
          <w:rtl w:val="0"/>
          <w:lang w:val="fr"/>
        </w:rPr>
        <w:t>Coûts indirects</w:t>
      </w:r>
    </w:p>
    <w:p w:rsidR="007C6EB1" w:rsidRPr="00E607E6" w:rsidP="008B7E41" w14:paraId="1886AD16" w14:textId="39B65827">
      <w:pPr>
        <w:bidi w:val="0"/>
      </w:pPr>
      <w:r>
        <w:rPr>
          <w:rtl w:val="0"/>
          <w:lang w:val="fr"/>
        </w:rPr>
        <w:t>Les partenaires de mise en œuvre ont généralement un taux de coûts indirects convenu avec le gouvernement américain dans le cadre d'un accord négocié sur les taux de coûts indirects. Les partenaires nouveaux ou plus petits ou les entreprises de recherche peuvent ne pas avoir de NICRA mais doivent prendre des mesures pour s'assurer que tous les coûts associés au suivi sont couverts soit par une imputation directe au budget soit par diverses options de budgétisation des frais généraux/indirects.</w:t>
      </w:r>
    </w:p>
    <w:p w:rsidR="00827188" w:rsidRPr="002D2877" w:rsidP="00827188" w14:paraId="183FB69C" w14:textId="42531CD2">
      <w:pPr>
        <w:bidi w:val="0"/>
      </w:pPr>
      <w:r w:rsidRPr="00E607E6">
        <w:rPr>
          <w:rtl w:val="0"/>
          <w:lang w:val="fr"/>
        </w:rPr>
        <w:t xml:space="preserve">Un taux de coûts indirects de 12% a été supposé pour les coûts des partenaires nationaux et un taux de coûts indirects de 17,5% a été supposé pour tous les coûts des partenaires de mise en œuvre. Des modifications peuvent être apportées en ajustant le taux dans les espaces réservés au taux de coûts indirects pour le personnel en haut à gauche du modèle de budget (surligné en jaune) ; il sera automatiquement ajusté pour chaque période budgétaire. </w:t>
      </w:r>
    </w:p>
    <w:p w:rsidR="00D3130F" w:rsidP="00D3130F" w14:paraId="24160486" w14:textId="05F494AC">
      <w:pPr>
        <w:pStyle w:val="Heading1"/>
        <w:bidi w:val="0"/>
      </w:pPr>
      <w:r>
        <w:rPr>
          <w:rtl w:val="0"/>
          <w:lang w:val="fr"/>
        </w:rPr>
        <w:t>Coûts unitaires et variations</w:t>
      </w:r>
    </w:p>
    <w:p w:rsidR="00D3130F" w:rsidP="00D139B1" w14:paraId="6986328F" w14:textId="3144BF0B">
      <w:pPr>
        <w:bidi w:val="0"/>
      </w:pPr>
      <w:r>
        <w:rPr>
          <w:rtl w:val="0"/>
          <w:lang w:val="fr"/>
        </w:rPr>
        <w:t>Les coûts unitaires peuvent varier selon les sites et doivent être analysés dans le contexte de sites spécifiques.</w:t>
      </w:r>
    </w:p>
    <w:p w:rsidR="00D3130F" w:rsidRPr="008B7E41" w:rsidP="00D3130F" w14:paraId="327E3E4C" w14:textId="178B6B8A">
      <w:pPr>
        <w:bidi w:val="0"/>
      </w:pPr>
      <w:r>
        <w:rPr>
          <w:rtl w:val="0"/>
          <w:lang w:val="fr"/>
        </w:rPr>
        <w:t>Le nombre de sites sera convenu lors de la conception de la surveillance. Le nombre d'équipes de terrain et la présence de la STTA doivent être ajustés dans le coin supérieur gauche (surligné en jaune) de la feuille. Le modèle de budget est configuré pour calculer automatiquement les lignes budgétaires qui sont variables en fonction du nombre de sites de surveillance.</w:t>
      </w:r>
    </w:p>
    <w:sectPr w:rsidSect="00957523">
      <w:head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197B" w14:paraId="2B617F61" w14:textId="3849219A">
    <w:pPr>
      <w:pStyle w:val="Header"/>
      <w:bidi w:val="0"/>
    </w:pPr>
    <w:r>
      <w:rPr>
        <w:rtl w:val="0"/>
        <w:lang w:val="fr"/>
      </w:rPr>
      <w:t xml:space="preserve">Date de la dernière révision : </w:t>
    </w:r>
    <w:r w:rsidRPr="00724DF1" w:rsidR="00BD7CAF">
      <w:rPr>
        <w:noProof/>
      </w:rPr>
      <w:drawing>
        <wp:anchor distT="0" distB="0" distL="114300" distR="114300" simplePos="0" relativeHeight="251658240" behindDoc="0" locked="0" layoutInCell="1" allowOverlap="1">
          <wp:simplePos x="0" y="0"/>
          <wp:positionH relativeFrom="margin">
            <wp:posOffset>4457700</wp:posOffset>
          </wp:positionH>
          <wp:positionV relativeFrom="margin">
            <wp:posOffset>-685800</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84635" name="New PMI logo 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rPr>
        <w:rtl w:val="0"/>
        <w:lang w:val="fr"/>
      </w:rPr>
      <w:t>Février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B7172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7E10C70"/>
    <w:multiLevelType w:val="hybridMultilevel"/>
    <w:tmpl w:val="87A0A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71325F98"/>
    <w:multiLevelType w:val="hybridMultilevel"/>
    <w:tmpl w:val="3488C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7EBB236E"/>
    <w:multiLevelType w:val="hybridMultilevel"/>
    <w:tmpl w:val="CCE63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7D"/>
    <w:rsid w:val="000005AA"/>
    <w:rsid w:val="0000093D"/>
    <w:rsid w:val="00000C77"/>
    <w:rsid w:val="00004A0A"/>
    <w:rsid w:val="00006ABF"/>
    <w:rsid w:val="00015310"/>
    <w:rsid w:val="00027D16"/>
    <w:rsid w:val="000402D5"/>
    <w:rsid w:val="000404DF"/>
    <w:rsid w:val="00073A59"/>
    <w:rsid w:val="00083888"/>
    <w:rsid w:val="000846AD"/>
    <w:rsid w:val="000846C8"/>
    <w:rsid w:val="00085B44"/>
    <w:rsid w:val="000970B1"/>
    <w:rsid w:val="000A2A0A"/>
    <w:rsid w:val="000A61AC"/>
    <w:rsid w:val="000C4BB2"/>
    <w:rsid w:val="000D132A"/>
    <w:rsid w:val="000D18DF"/>
    <w:rsid w:val="000D327B"/>
    <w:rsid w:val="000D70AC"/>
    <w:rsid w:val="000E0275"/>
    <w:rsid w:val="000E76AB"/>
    <w:rsid w:val="000F78F5"/>
    <w:rsid w:val="00102C41"/>
    <w:rsid w:val="00112CC5"/>
    <w:rsid w:val="001160A4"/>
    <w:rsid w:val="001257DD"/>
    <w:rsid w:val="00125F5D"/>
    <w:rsid w:val="001342DC"/>
    <w:rsid w:val="00153773"/>
    <w:rsid w:val="00155903"/>
    <w:rsid w:val="001755BF"/>
    <w:rsid w:val="001A1275"/>
    <w:rsid w:val="001B0665"/>
    <w:rsid w:val="001E4BD5"/>
    <w:rsid w:val="001F2832"/>
    <w:rsid w:val="0021746E"/>
    <w:rsid w:val="002213C3"/>
    <w:rsid w:val="00236B8A"/>
    <w:rsid w:val="002422F1"/>
    <w:rsid w:val="002428F1"/>
    <w:rsid w:val="00256338"/>
    <w:rsid w:val="0026526F"/>
    <w:rsid w:val="002738A4"/>
    <w:rsid w:val="00281E3C"/>
    <w:rsid w:val="00286D0A"/>
    <w:rsid w:val="002A4F7C"/>
    <w:rsid w:val="002B3C34"/>
    <w:rsid w:val="002B4AD2"/>
    <w:rsid w:val="002B7764"/>
    <w:rsid w:val="002C6581"/>
    <w:rsid w:val="002D0EA7"/>
    <w:rsid w:val="002D1127"/>
    <w:rsid w:val="002D2877"/>
    <w:rsid w:val="002D51B4"/>
    <w:rsid w:val="002E15CB"/>
    <w:rsid w:val="002E53D5"/>
    <w:rsid w:val="003332D8"/>
    <w:rsid w:val="00334B7B"/>
    <w:rsid w:val="003360B2"/>
    <w:rsid w:val="00351798"/>
    <w:rsid w:val="00361970"/>
    <w:rsid w:val="00374D69"/>
    <w:rsid w:val="00377713"/>
    <w:rsid w:val="003874BA"/>
    <w:rsid w:val="003907C3"/>
    <w:rsid w:val="003A2E2E"/>
    <w:rsid w:val="003A6CA2"/>
    <w:rsid w:val="003C59E2"/>
    <w:rsid w:val="003F57A9"/>
    <w:rsid w:val="003F7E10"/>
    <w:rsid w:val="00400B9C"/>
    <w:rsid w:val="00404940"/>
    <w:rsid w:val="00415363"/>
    <w:rsid w:val="004354BD"/>
    <w:rsid w:val="00441510"/>
    <w:rsid w:val="00446748"/>
    <w:rsid w:val="00453000"/>
    <w:rsid w:val="004627CA"/>
    <w:rsid w:val="00463411"/>
    <w:rsid w:val="00476569"/>
    <w:rsid w:val="0048221A"/>
    <w:rsid w:val="00482A96"/>
    <w:rsid w:val="00494C51"/>
    <w:rsid w:val="004A514B"/>
    <w:rsid w:val="004B510F"/>
    <w:rsid w:val="004B6EAE"/>
    <w:rsid w:val="004D6697"/>
    <w:rsid w:val="004E6333"/>
    <w:rsid w:val="004F4969"/>
    <w:rsid w:val="00512B97"/>
    <w:rsid w:val="0052319C"/>
    <w:rsid w:val="0052530E"/>
    <w:rsid w:val="00526C73"/>
    <w:rsid w:val="00533CCF"/>
    <w:rsid w:val="00534356"/>
    <w:rsid w:val="005366FF"/>
    <w:rsid w:val="005467CC"/>
    <w:rsid w:val="00560A09"/>
    <w:rsid w:val="00566438"/>
    <w:rsid w:val="00570353"/>
    <w:rsid w:val="005868C1"/>
    <w:rsid w:val="005921D1"/>
    <w:rsid w:val="005935AB"/>
    <w:rsid w:val="005A1C08"/>
    <w:rsid w:val="005A63BA"/>
    <w:rsid w:val="005B1A12"/>
    <w:rsid w:val="005B2463"/>
    <w:rsid w:val="005B5756"/>
    <w:rsid w:val="005B7525"/>
    <w:rsid w:val="005C1812"/>
    <w:rsid w:val="005E0270"/>
    <w:rsid w:val="005E079D"/>
    <w:rsid w:val="005F2317"/>
    <w:rsid w:val="0060056F"/>
    <w:rsid w:val="00610FCF"/>
    <w:rsid w:val="00613BF9"/>
    <w:rsid w:val="00616033"/>
    <w:rsid w:val="00633E1F"/>
    <w:rsid w:val="006400BF"/>
    <w:rsid w:val="00653D36"/>
    <w:rsid w:val="006547E2"/>
    <w:rsid w:val="00656F8E"/>
    <w:rsid w:val="006738F7"/>
    <w:rsid w:val="00681D88"/>
    <w:rsid w:val="006860A5"/>
    <w:rsid w:val="00693E2E"/>
    <w:rsid w:val="00694057"/>
    <w:rsid w:val="00694AF6"/>
    <w:rsid w:val="006A1032"/>
    <w:rsid w:val="006A467F"/>
    <w:rsid w:val="006B35B9"/>
    <w:rsid w:val="006C7EEC"/>
    <w:rsid w:val="006D43D2"/>
    <w:rsid w:val="006E0164"/>
    <w:rsid w:val="006E4A77"/>
    <w:rsid w:val="00704D30"/>
    <w:rsid w:val="0073419C"/>
    <w:rsid w:val="00747A31"/>
    <w:rsid w:val="00753251"/>
    <w:rsid w:val="00755EF9"/>
    <w:rsid w:val="00760AAD"/>
    <w:rsid w:val="00780511"/>
    <w:rsid w:val="0079298D"/>
    <w:rsid w:val="0079481A"/>
    <w:rsid w:val="007A404B"/>
    <w:rsid w:val="007C6EB1"/>
    <w:rsid w:val="007C7099"/>
    <w:rsid w:val="007D69F6"/>
    <w:rsid w:val="007F1251"/>
    <w:rsid w:val="00805AFE"/>
    <w:rsid w:val="0081244F"/>
    <w:rsid w:val="008161D4"/>
    <w:rsid w:val="00822C90"/>
    <w:rsid w:val="00827188"/>
    <w:rsid w:val="00834E80"/>
    <w:rsid w:val="008352A7"/>
    <w:rsid w:val="008430D9"/>
    <w:rsid w:val="0086251D"/>
    <w:rsid w:val="00864D8F"/>
    <w:rsid w:val="00871682"/>
    <w:rsid w:val="0087647E"/>
    <w:rsid w:val="00894F50"/>
    <w:rsid w:val="008A783E"/>
    <w:rsid w:val="008A79A9"/>
    <w:rsid w:val="008B4600"/>
    <w:rsid w:val="008B7E41"/>
    <w:rsid w:val="008C0567"/>
    <w:rsid w:val="008C5EE4"/>
    <w:rsid w:val="008D2F9C"/>
    <w:rsid w:val="008E2DCC"/>
    <w:rsid w:val="008E66DF"/>
    <w:rsid w:val="008F4502"/>
    <w:rsid w:val="00901F31"/>
    <w:rsid w:val="00902DF8"/>
    <w:rsid w:val="00904556"/>
    <w:rsid w:val="009112F4"/>
    <w:rsid w:val="00911851"/>
    <w:rsid w:val="009158C9"/>
    <w:rsid w:val="009167E2"/>
    <w:rsid w:val="0092106E"/>
    <w:rsid w:val="0092586D"/>
    <w:rsid w:val="00937038"/>
    <w:rsid w:val="009556BF"/>
    <w:rsid w:val="00957523"/>
    <w:rsid w:val="00972933"/>
    <w:rsid w:val="00984DC7"/>
    <w:rsid w:val="00986CBB"/>
    <w:rsid w:val="009A2F01"/>
    <w:rsid w:val="009E03F8"/>
    <w:rsid w:val="009E36AE"/>
    <w:rsid w:val="009E6135"/>
    <w:rsid w:val="009F1D3B"/>
    <w:rsid w:val="009F3AFD"/>
    <w:rsid w:val="00A10904"/>
    <w:rsid w:val="00A10DA4"/>
    <w:rsid w:val="00A161B1"/>
    <w:rsid w:val="00A24EB4"/>
    <w:rsid w:val="00A35C7F"/>
    <w:rsid w:val="00A35CFB"/>
    <w:rsid w:val="00A44CE4"/>
    <w:rsid w:val="00A5489E"/>
    <w:rsid w:val="00A5627A"/>
    <w:rsid w:val="00A56EDE"/>
    <w:rsid w:val="00A723CA"/>
    <w:rsid w:val="00A75A7D"/>
    <w:rsid w:val="00A83835"/>
    <w:rsid w:val="00A92693"/>
    <w:rsid w:val="00A92AFD"/>
    <w:rsid w:val="00AB383E"/>
    <w:rsid w:val="00AB73D3"/>
    <w:rsid w:val="00AD1562"/>
    <w:rsid w:val="00AD43A8"/>
    <w:rsid w:val="00AD5AEB"/>
    <w:rsid w:val="00AD79C9"/>
    <w:rsid w:val="00AF1C41"/>
    <w:rsid w:val="00AF6918"/>
    <w:rsid w:val="00B003B4"/>
    <w:rsid w:val="00B056E7"/>
    <w:rsid w:val="00B11B17"/>
    <w:rsid w:val="00B3690F"/>
    <w:rsid w:val="00B532DA"/>
    <w:rsid w:val="00B918BB"/>
    <w:rsid w:val="00BA0E3C"/>
    <w:rsid w:val="00BA1FF5"/>
    <w:rsid w:val="00BA55A3"/>
    <w:rsid w:val="00BD7CAF"/>
    <w:rsid w:val="00BE18F8"/>
    <w:rsid w:val="00BE7B34"/>
    <w:rsid w:val="00C029AD"/>
    <w:rsid w:val="00C04751"/>
    <w:rsid w:val="00C066A0"/>
    <w:rsid w:val="00C144FC"/>
    <w:rsid w:val="00C201E8"/>
    <w:rsid w:val="00C35E0C"/>
    <w:rsid w:val="00C419A5"/>
    <w:rsid w:val="00C500B1"/>
    <w:rsid w:val="00C62AD6"/>
    <w:rsid w:val="00C639B3"/>
    <w:rsid w:val="00CA0BF0"/>
    <w:rsid w:val="00CA5D41"/>
    <w:rsid w:val="00CA65B0"/>
    <w:rsid w:val="00CB018D"/>
    <w:rsid w:val="00CB3A30"/>
    <w:rsid w:val="00CC447C"/>
    <w:rsid w:val="00CC4C6D"/>
    <w:rsid w:val="00CD385E"/>
    <w:rsid w:val="00CE1106"/>
    <w:rsid w:val="00CE6DB9"/>
    <w:rsid w:val="00CF043D"/>
    <w:rsid w:val="00D030F9"/>
    <w:rsid w:val="00D07462"/>
    <w:rsid w:val="00D1034B"/>
    <w:rsid w:val="00D139B1"/>
    <w:rsid w:val="00D14B83"/>
    <w:rsid w:val="00D22F93"/>
    <w:rsid w:val="00D26340"/>
    <w:rsid w:val="00D3130F"/>
    <w:rsid w:val="00D32489"/>
    <w:rsid w:val="00D3267D"/>
    <w:rsid w:val="00D34EAA"/>
    <w:rsid w:val="00D35160"/>
    <w:rsid w:val="00D370E3"/>
    <w:rsid w:val="00D37E4B"/>
    <w:rsid w:val="00D45A49"/>
    <w:rsid w:val="00D46234"/>
    <w:rsid w:val="00D548C7"/>
    <w:rsid w:val="00D552DD"/>
    <w:rsid w:val="00D66583"/>
    <w:rsid w:val="00D9197B"/>
    <w:rsid w:val="00DA13FA"/>
    <w:rsid w:val="00DA231A"/>
    <w:rsid w:val="00DA7AC0"/>
    <w:rsid w:val="00DB3952"/>
    <w:rsid w:val="00DB4BC0"/>
    <w:rsid w:val="00DC66BD"/>
    <w:rsid w:val="00DD25AF"/>
    <w:rsid w:val="00DE19C1"/>
    <w:rsid w:val="00DE73F1"/>
    <w:rsid w:val="00DF2960"/>
    <w:rsid w:val="00E06372"/>
    <w:rsid w:val="00E276C2"/>
    <w:rsid w:val="00E32F5A"/>
    <w:rsid w:val="00E343DE"/>
    <w:rsid w:val="00E41CA7"/>
    <w:rsid w:val="00E4738A"/>
    <w:rsid w:val="00E57872"/>
    <w:rsid w:val="00E607E6"/>
    <w:rsid w:val="00E63454"/>
    <w:rsid w:val="00E641FB"/>
    <w:rsid w:val="00E82B9A"/>
    <w:rsid w:val="00E868A8"/>
    <w:rsid w:val="00E96C9C"/>
    <w:rsid w:val="00EA4590"/>
    <w:rsid w:val="00EA4D9A"/>
    <w:rsid w:val="00EB467C"/>
    <w:rsid w:val="00EB720C"/>
    <w:rsid w:val="00EC2F1D"/>
    <w:rsid w:val="00EC35DB"/>
    <w:rsid w:val="00ED325F"/>
    <w:rsid w:val="00EF3ABF"/>
    <w:rsid w:val="00F02E25"/>
    <w:rsid w:val="00F1437F"/>
    <w:rsid w:val="00F2188A"/>
    <w:rsid w:val="00F3173A"/>
    <w:rsid w:val="00F371C3"/>
    <w:rsid w:val="00F50E46"/>
    <w:rsid w:val="00F5219A"/>
    <w:rsid w:val="00F570DF"/>
    <w:rsid w:val="00F60376"/>
    <w:rsid w:val="00F71CB4"/>
    <w:rsid w:val="00F74AF4"/>
    <w:rsid w:val="00F81408"/>
    <w:rsid w:val="00F90686"/>
    <w:rsid w:val="00F91BE6"/>
    <w:rsid w:val="00F941A7"/>
    <w:rsid w:val="00FA777B"/>
    <w:rsid w:val="00FB28D0"/>
    <w:rsid w:val="00FB648C"/>
    <w:rsid w:val="00FC0F81"/>
    <w:rsid w:val="00FC674E"/>
    <w:rsid w:val="00FF328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5:docId w15:val="{C8C0D486-E7F8-4070-AC18-04EFEF50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77"/>
    <w:rPr>
      <w:rFonts w:ascii="Calibri" w:hAnsi="Calibri"/>
    </w:rPr>
  </w:style>
  <w:style w:type="paragraph" w:styleId="Heading1">
    <w:name w:val="heading 1"/>
    <w:basedOn w:val="Normal"/>
    <w:next w:val="Normal"/>
    <w:link w:val="Heading1Char"/>
    <w:uiPriority w:val="9"/>
    <w:qFormat/>
    <w:rsid w:val="002D2877"/>
    <w:pPr>
      <w:keepNext/>
      <w:keepLines/>
      <w:numPr>
        <w:numId w:val="1"/>
      </w:numPr>
      <w:spacing w:before="480" w:after="0"/>
      <w:outlineLvl w:val="0"/>
    </w:pPr>
    <w:rPr>
      <w:rFonts w:ascii="Cambria" w:hAnsi="Cambria"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1FB"/>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1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1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1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1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1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1FB"/>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41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77"/>
    <w:rPr>
      <w:rFonts w:ascii="Cambria" w:hAnsi="Cambria"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4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1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1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1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1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1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1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641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41F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877"/>
    <w:pPr>
      <w:pBdr>
        <w:bottom w:val="single" w:sz="8" w:space="4" w:color="4F81BD" w:themeColor="accent1"/>
      </w:pBdr>
      <w:spacing w:after="300" w:line="240" w:lineRule="auto"/>
      <w:contextualSpacing/>
    </w:pPr>
    <w:rPr>
      <w:rFonts w:ascii="Cambria" w:hAnsi="Cambria"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877"/>
    <w:rPr>
      <w:rFonts w:ascii="Cambria" w:hAnsi="Cambria"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1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41FB"/>
    <w:rPr>
      <w:b/>
      <w:bCs/>
    </w:rPr>
  </w:style>
  <w:style w:type="character" w:styleId="Emphasis">
    <w:name w:val="Emphasis"/>
    <w:basedOn w:val="DefaultParagraphFont"/>
    <w:uiPriority w:val="20"/>
    <w:qFormat/>
    <w:rsid w:val="00E641FB"/>
    <w:rPr>
      <w:i/>
      <w:iCs/>
    </w:rPr>
  </w:style>
  <w:style w:type="paragraph" w:styleId="NoSpacing">
    <w:name w:val="No Spacing"/>
    <w:link w:val="NoSpacingChar"/>
    <w:uiPriority w:val="1"/>
    <w:qFormat/>
    <w:rsid w:val="00E641FB"/>
    <w:pPr>
      <w:spacing w:after="0" w:line="240" w:lineRule="auto"/>
    </w:pPr>
  </w:style>
  <w:style w:type="paragraph" w:styleId="ListParagraph">
    <w:name w:val="List Paragraph"/>
    <w:basedOn w:val="Normal"/>
    <w:uiPriority w:val="34"/>
    <w:qFormat/>
    <w:rsid w:val="00E641FB"/>
    <w:pPr>
      <w:ind w:left="720"/>
      <w:contextualSpacing/>
    </w:pPr>
  </w:style>
  <w:style w:type="paragraph" w:styleId="Quote">
    <w:name w:val="Quote"/>
    <w:basedOn w:val="Normal"/>
    <w:next w:val="Normal"/>
    <w:link w:val="QuoteChar"/>
    <w:uiPriority w:val="29"/>
    <w:qFormat/>
    <w:rsid w:val="00E641FB"/>
    <w:rPr>
      <w:i/>
      <w:iCs/>
      <w:color w:val="000000" w:themeColor="text1"/>
    </w:rPr>
  </w:style>
  <w:style w:type="character" w:customStyle="1" w:styleId="QuoteChar">
    <w:name w:val="Quote Char"/>
    <w:basedOn w:val="DefaultParagraphFont"/>
    <w:link w:val="Quote"/>
    <w:uiPriority w:val="29"/>
    <w:rsid w:val="00E641FB"/>
    <w:rPr>
      <w:i/>
      <w:iCs/>
      <w:color w:val="000000" w:themeColor="text1"/>
    </w:rPr>
  </w:style>
  <w:style w:type="paragraph" w:styleId="IntenseQuote">
    <w:name w:val="Intense Quote"/>
    <w:basedOn w:val="Normal"/>
    <w:next w:val="Normal"/>
    <w:link w:val="IntenseQuoteChar"/>
    <w:uiPriority w:val="30"/>
    <w:qFormat/>
    <w:rsid w:val="00E64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41FB"/>
    <w:rPr>
      <w:b/>
      <w:bCs/>
      <w:i/>
      <w:iCs/>
      <w:color w:val="4F81BD" w:themeColor="accent1"/>
    </w:rPr>
  </w:style>
  <w:style w:type="character" w:styleId="SubtleEmphasis">
    <w:name w:val="Subtle Emphasis"/>
    <w:basedOn w:val="DefaultParagraphFont"/>
    <w:uiPriority w:val="19"/>
    <w:qFormat/>
    <w:rsid w:val="00E641FB"/>
    <w:rPr>
      <w:i/>
      <w:iCs/>
      <w:color w:val="808080" w:themeColor="text1" w:themeTint="7F"/>
    </w:rPr>
  </w:style>
  <w:style w:type="character" w:styleId="IntenseEmphasis">
    <w:name w:val="Intense Emphasis"/>
    <w:basedOn w:val="DefaultParagraphFont"/>
    <w:uiPriority w:val="21"/>
    <w:qFormat/>
    <w:rsid w:val="00E641FB"/>
    <w:rPr>
      <w:b/>
      <w:bCs/>
      <w:i/>
      <w:iCs/>
      <w:color w:val="4F81BD" w:themeColor="accent1"/>
    </w:rPr>
  </w:style>
  <w:style w:type="character" w:styleId="SubtleReference">
    <w:name w:val="Subtle Reference"/>
    <w:basedOn w:val="DefaultParagraphFont"/>
    <w:uiPriority w:val="31"/>
    <w:qFormat/>
    <w:rsid w:val="00E641FB"/>
    <w:rPr>
      <w:smallCaps/>
      <w:color w:val="C0504D" w:themeColor="accent2"/>
      <w:u w:val="single"/>
    </w:rPr>
  </w:style>
  <w:style w:type="character" w:styleId="IntenseReference">
    <w:name w:val="Intense Reference"/>
    <w:basedOn w:val="DefaultParagraphFont"/>
    <w:uiPriority w:val="32"/>
    <w:qFormat/>
    <w:rsid w:val="00E641FB"/>
    <w:rPr>
      <w:b/>
      <w:bCs/>
      <w:smallCaps/>
      <w:color w:val="C0504D" w:themeColor="accent2"/>
      <w:spacing w:val="5"/>
      <w:u w:val="single"/>
    </w:rPr>
  </w:style>
  <w:style w:type="character" w:styleId="BookTitle">
    <w:name w:val="Book Title"/>
    <w:basedOn w:val="DefaultParagraphFont"/>
    <w:uiPriority w:val="33"/>
    <w:qFormat/>
    <w:rsid w:val="00E641FB"/>
    <w:rPr>
      <w:b/>
      <w:bCs/>
      <w:smallCaps/>
      <w:spacing w:val="5"/>
    </w:rPr>
  </w:style>
  <w:style w:type="paragraph" w:styleId="TOCHeading">
    <w:name w:val="TOC Heading"/>
    <w:basedOn w:val="Heading1"/>
    <w:next w:val="Normal"/>
    <w:uiPriority w:val="39"/>
    <w:semiHidden/>
    <w:unhideWhenUsed/>
    <w:qFormat/>
    <w:rsid w:val="00E641FB"/>
    <w:pPr>
      <w:outlineLvl w:val="9"/>
    </w:pPr>
  </w:style>
  <w:style w:type="character" w:customStyle="1" w:styleId="NoSpacingChar">
    <w:name w:val="No Spacing Char"/>
    <w:basedOn w:val="DefaultParagraphFont"/>
    <w:link w:val="NoSpacing"/>
    <w:uiPriority w:val="1"/>
    <w:rsid w:val="00E641FB"/>
  </w:style>
  <w:style w:type="paragraph" w:styleId="Header">
    <w:name w:val="header"/>
    <w:basedOn w:val="Normal"/>
    <w:link w:val="HeaderChar"/>
    <w:uiPriority w:val="99"/>
    <w:unhideWhenUsed/>
    <w:rsid w:val="002D2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877"/>
  </w:style>
  <w:style w:type="paragraph" w:styleId="Footer">
    <w:name w:val="footer"/>
    <w:basedOn w:val="Normal"/>
    <w:link w:val="FooterChar"/>
    <w:uiPriority w:val="99"/>
    <w:unhideWhenUsed/>
    <w:rsid w:val="002D2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877"/>
  </w:style>
  <w:style w:type="paragraph" w:styleId="BalloonText">
    <w:name w:val="Balloon Text"/>
    <w:basedOn w:val="Normal"/>
    <w:link w:val="BalloonTextChar"/>
    <w:uiPriority w:val="99"/>
    <w:semiHidden/>
    <w:unhideWhenUsed/>
    <w:rsid w:val="008C5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EA7"/>
    <w:rPr>
      <w:sz w:val="18"/>
      <w:szCs w:val="18"/>
    </w:rPr>
  </w:style>
  <w:style w:type="paragraph" w:styleId="CommentText">
    <w:name w:val="annotation text"/>
    <w:basedOn w:val="Normal"/>
    <w:link w:val="CommentTextChar"/>
    <w:uiPriority w:val="99"/>
    <w:semiHidden/>
    <w:unhideWhenUsed/>
    <w:rsid w:val="002D0EA7"/>
    <w:pPr>
      <w:spacing w:line="240" w:lineRule="auto"/>
    </w:pPr>
    <w:rPr>
      <w:sz w:val="24"/>
      <w:szCs w:val="24"/>
    </w:rPr>
  </w:style>
  <w:style w:type="character" w:customStyle="1" w:styleId="CommentTextChar">
    <w:name w:val="Comment Text Char"/>
    <w:basedOn w:val="DefaultParagraphFont"/>
    <w:link w:val="CommentText"/>
    <w:uiPriority w:val="99"/>
    <w:semiHidden/>
    <w:rsid w:val="002D0EA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D0EA7"/>
    <w:rPr>
      <w:b/>
      <w:bCs/>
      <w:sz w:val="20"/>
      <w:szCs w:val="20"/>
    </w:rPr>
  </w:style>
  <w:style w:type="character" w:customStyle="1" w:styleId="CommentSubjectChar">
    <w:name w:val="Comment Subject Char"/>
    <w:basedOn w:val="CommentTextChar"/>
    <w:link w:val="CommentSubject"/>
    <w:uiPriority w:val="99"/>
    <w:semiHidden/>
    <w:rsid w:val="002D0EA7"/>
    <w:rPr>
      <w:rFonts w:ascii="Calibri" w:hAnsi="Calibri"/>
      <w:b/>
      <w:bCs/>
      <w:sz w:val="20"/>
      <w:szCs w:val="20"/>
    </w:rPr>
  </w:style>
  <w:style w:type="paragraph" w:styleId="DocumentMap">
    <w:name w:val="Document Map"/>
    <w:basedOn w:val="Normal"/>
    <w:link w:val="DocumentMapChar"/>
    <w:uiPriority w:val="99"/>
    <w:semiHidden/>
    <w:unhideWhenUsed/>
    <w:rsid w:val="00AD79C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79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SharedWithUsers xmlns="6b9857c5-041e-4fc1-9d7d-8b03587acb27">
      <UserInfo>
        <DisplayName>Stephen Poyer</DisplayName>
        <AccountId>17</AccountId>
        <AccountType/>
      </UserInfo>
      <UserInfo>
        <DisplayName>Justin Rahariniaina</DisplayName>
        <AccountId>46</AccountId>
        <AccountType/>
      </UserInfo>
    </SharedWithUsers>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35A57-37C2-4E17-8B5B-E8FFB2989026}">
  <ds:schemaRefs>
    <ds:schemaRef ds:uri="http://schemas.microsoft.com/sharepoint/v3/contenttype/forms"/>
  </ds:schemaRefs>
</ds:datastoreItem>
</file>

<file path=customXml/itemProps2.xml><?xml version="1.0" encoding="utf-8"?>
<ds:datastoreItem xmlns:ds="http://schemas.openxmlformats.org/officeDocument/2006/customXml" ds:itemID="{FB65884F-5086-453C-8D8A-C4D08D26A62D}">
  <ds:schemaRefs>
    <ds:schemaRef ds:uri="http://schemas.microsoft.com/office/2006/metadata/properties"/>
    <ds:schemaRef ds:uri="http://schemas.microsoft.com/office/infopath/2007/PartnerControls"/>
    <ds:schemaRef ds:uri="0bd7d161-68aa-4378-85c6-89c84e437c65"/>
    <ds:schemaRef ds:uri="6b9857c5-041e-4fc1-9d7d-8b03587acb27"/>
  </ds:schemaRefs>
</ds:datastoreItem>
</file>

<file path=customXml/itemProps3.xml><?xml version="1.0" encoding="utf-8"?>
<ds:datastoreItem xmlns:ds="http://schemas.openxmlformats.org/officeDocument/2006/customXml" ds:itemID="{47CCD609-D6D0-4BDA-AC71-3879C7D4638A}"/>
</file>

<file path=docProps/app.xml><?xml version="1.0" encoding="utf-8"?>
<Properties xmlns="http://schemas.openxmlformats.org/officeDocument/2006/extended-properties" xmlns:vt="http://schemas.openxmlformats.org/officeDocument/2006/docPropsVTypes">
  <Template>Normal.dotm</Template>
  <TotalTime>10</TotalTime>
  <Pages>7</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Emily Kitts</cp:lastModifiedBy>
  <cp:revision>16</cp:revision>
  <cp:lastPrinted>2015-09-29T07:37:00Z</cp:lastPrinted>
  <dcterms:created xsi:type="dcterms:W3CDTF">2021-02-24T15:09:00Z</dcterms:created>
  <dcterms:modified xsi:type="dcterms:W3CDTF">2021-05-04T13:57:00Z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