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72563" w14:textId="158EBE17" w:rsidR="00783D5F" w:rsidRPr="001C0FFA" w:rsidRDefault="002A516E" w:rsidP="00783D5F">
      <w:pPr>
        <w:rPr>
          <w:b/>
          <w:bCs/>
        </w:rPr>
        <w:sectPr w:rsidR="00783D5F" w:rsidRPr="001C0FFA" w:rsidSect="00B81EEE">
          <w:pgSz w:w="12240" w:h="15840"/>
          <w:pgMar w:top="720" w:right="720" w:bottom="720" w:left="720" w:header="864" w:footer="720" w:gutter="0"/>
          <w:cols w:space="720"/>
          <w:docGrid w:linePitch="360"/>
        </w:sectPr>
      </w:pPr>
      <w:r w:rsidRPr="00EE36C2">
        <w:rPr>
          <w:rFonts w:ascii="Gotham Medium" w:hAnsi="Gotham Medium"/>
          <w:b/>
          <w:bCs/>
          <w:noProof/>
          <w:color w:val="FF0000"/>
          <w:sz w:val="56"/>
          <w:szCs w:val="56"/>
        </w:rPr>
        <mc:AlternateContent>
          <mc:Choice Requires="wps">
            <w:drawing>
              <wp:inline distT="0" distB="0" distL="0" distR="0" wp14:anchorId="4B5C8913" wp14:editId="4A76E989">
                <wp:extent cx="6885305" cy="0"/>
                <wp:effectExtent l="0" t="0" r="0" b="0"/>
                <wp:docPr id="2" name="Straight Connector 2"/>
                <wp:cNvGraphicFramePr/>
                <a:graphic xmlns:a="http://schemas.openxmlformats.org/drawingml/2006/main">
                  <a:graphicData uri="http://schemas.microsoft.com/office/word/2010/wordprocessingShape">
                    <wps:wsp>
                      <wps:cNvCnPr/>
                      <wps:spPr>
                        <a:xfrm>
                          <a:off x="0" y="0"/>
                          <a:ext cx="6885305" cy="0"/>
                        </a:xfrm>
                        <a:prstGeom prst="line">
                          <a:avLst/>
                        </a:prstGeom>
                        <a:ln w="952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rto="http://schemas.microsoft.com/office/word/2006/arto">
            <w:pict>
              <v:line w14:anchorId="65374153"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542.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" strokecolor="red">
                <v:stroke joinstyle="miter"/>
                <w10:anchorlock/>
              </v:line>
            </w:pict>
          </mc:Fallback>
        </mc:AlternateContent>
      </w:r>
    </w:p>
    <w:p w14:paraId="2D8DC0EE" w14:textId="709BA68B" w:rsidR="007A59A9" w:rsidRDefault="00036049" w:rsidP="00554F20">
      <w:pPr>
        <w:spacing w:before="120"/>
        <w:ind w:left="720" w:right="720"/>
        <w:jc w:val="center"/>
        <w:rPr>
          <w:rFonts w:ascii="Gotham Medium" w:hAnsi="Gotham Medium"/>
          <w:b/>
          <w:bCs/>
          <w:color w:val="104177"/>
          <w:sz w:val="56"/>
          <w:szCs w:val="56"/>
        </w:rPr>
      </w:pPr>
      <w:r>
        <w:rPr>
          <w:rFonts w:ascii="Gotham Medium" w:hAnsi="Gotham Medium"/>
          <w:b/>
          <w:bCs/>
          <w:color w:val="104177"/>
          <w:sz w:val="56"/>
          <w:szCs w:val="56"/>
        </w:rPr>
        <w:t>Cameroon</w:t>
      </w:r>
      <w:r w:rsidR="00804CA5">
        <w:rPr>
          <w:rFonts w:ascii="Gotham Medium" w:hAnsi="Gotham Medium"/>
          <w:b/>
          <w:bCs/>
          <w:color w:val="104177"/>
          <w:sz w:val="56"/>
          <w:szCs w:val="56"/>
        </w:rPr>
        <w:t xml:space="preserve"> </w:t>
      </w:r>
    </w:p>
    <w:p w14:paraId="48F853CD" w14:textId="7C1B1844" w:rsidR="00783D5F" w:rsidRPr="00EE36C2" w:rsidRDefault="003A546C" w:rsidP="00554F20">
      <w:pPr>
        <w:spacing w:before="120"/>
        <w:ind w:left="720" w:right="720"/>
        <w:jc w:val="center"/>
        <w:rPr>
          <w:rFonts w:ascii="Gotham Medium" w:hAnsi="Gotham Medium"/>
          <w:b/>
          <w:bCs/>
          <w:color w:val="104177"/>
          <w:sz w:val="56"/>
          <w:szCs w:val="56"/>
        </w:rPr>
      </w:pPr>
      <w:r>
        <w:rPr>
          <w:rFonts w:ascii="Gotham Medium" w:hAnsi="Gotham Medium"/>
          <w:b/>
          <w:bCs/>
          <w:color w:val="104177"/>
          <w:sz w:val="56"/>
          <w:szCs w:val="56"/>
        </w:rPr>
        <w:t xml:space="preserve">Streamlined </w:t>
      </w:r>
      <w:r w:rsidR="00DF01C3">
        <w:rPr>
          <w:rFonts w:ascii="Gotham Medium" w:hAnsi="Gotham Medium"/>
          <w:b/>
          <w:bCs/>
          <w:color w:val="104177"/>
          <w:sz w:val="56"/>
          <w:szCs w:val="56"/>
        </w:rPr>
        <w:t>Durability Monitoring</w:t>
      </w:r>
      <w:r w:rsidR="0072256E">
        <w:rPr>
          <w:rFonts w:ascii="Gotham Medium" w:hAnsi="Gotham Medium"/>
          <w:b/>
          <w:bCs/>
          <w:color w:val="104177"/>
          <w:sz w:val="56"/>
          <w:szCs w:val="56"/>
        </w:rPr>
        <w:t xml:space="preserve"> </w:t>
      </w:r>
      <w:r w:rsidR="00DF01C3">
        <w:rPr>
          <w:rFonts w:ascii="Gotham Medium" w:hAnsi="Gotham Medium"/>
          <w:b/>
          <w:bCs/>
          <w:color w:val="104177"/>
          <w:sz w:val="56"/>
          <w:szCs w:val="56"/>
        </w:rPr>
        <w:t>Snapshot</w:t>
      </w:r>
      <w:r w:rsidR="007A59A9">
        <w:rPr>
          <w:rFonts w:ascii="Gotham Medium" w:hAnsi="Gotham Medium"/>
          <w:b/>
          <w:bCs/>
          <w:color w:val="104177"/>
          <w:sz w:val="56"/>
          <w:szCs w:val="56"/>
        </w:rPr>
        <w:t>: 36 Months</w:t>
      </w:r>
      <w:r w:rsidR="00783D5F" w:rsidRPr="00EE36C2">
        <w:rPr>
          <w:rFonts w:ascii="Gotham Medium" w:hAnsi="Gotham Medium"/>
          <w:b/>
          <w:bCs/>
          <w:color w:val="104177"/>
          <w:sz w:val="56"/>
          <w:szCs w:val="56"/>
        </w:rPr>
        <w:t xml:space="preserve"> </w:t>
      </w:r>
    </w:p>
    <w:p w14:paraId="79B3AD18" w14:textId="729EF350" w:rsidR="00783D5F" w:rsidRDefault="00C75216" w:rsidP="00783D5F">
      <w:pPr>
        <w:ind w:left="720" w:right="720"/>
        <w:jc w:val="center"/>
        <w:rPr>
          <w:rFonts w:ascii="Gotham Medium" w:hAnsi="Gotham Medium"/>
          <w:color w:val="1F3468"/>
          <w:sz w:val="40"/>
          <w:szCs w:val="40"/>
        </w:rPr>
      </w:pPr>
      <w:r w:rsidRPr="00BC79A5">
        <w:rPr>
          <w:rFonts w:ascii="Gotham Medium" w:hAnsi="Gotham Medium"/>
          <w:noProof/>
          <w:color w:val="002060"/>
          <w:sz w:val="40"/>
          <w:szCs w:val="40"/>
        </w:rPr>
        <mc:AlternateContent>
          <mc:Choice Requires="wps">
            <w:drawing>
              <wp:anchor distT="0" distB="0" distL="114300" distR="114300" simplePos="0" relativeHeight="251658240" behindDoc="0" locked="0" layoutInCell="1" allowOverlap="1" wp14:anchorId="790CBA92" wp14:editId="4E17D496">
                <wp:simplePos x="0" y="0"/>
                <wp:positionH relativeFrom="margin">
                  <wp:posOffset>0</wp:posOffset>
                </wp:positionH>
                <wp:positionV relativeFrom="paragraph">
                  <wp:posOffset>392267</wp:posOffset>
                </wp:positionV>
                <wp:extent cx="6885305" cy="8890"/>
                <wp:effectExtent l="0" t="0" r="29845" b="29210"/>
                <wp:wrapNone/>
                <wp:docPr id="7" name="Straight Connector 7"/>
                <wp:cNvGraphicFramePr/>
                <a:graphic xmlns:a="http://schemas.openxmlformats.org/drawingml/2006/main">
                  <a:graphicData uri="http://schemas.microsoft.com/office/word/2010/wordprocessingShape">
                    <wps:wsp>
                      <wps:cNvCnPr/>
                      <wps:spPr>
                        <a:xfrm flipV="1">
                          <a:off x="0" y="0"/>
                          <a:ext cx="6885305" cy="8890"/>
                        </a:xfrm>
                        <a:prstGeom prst="line">
                          <a:avLst/>
                        </a:prstGeom>
                        <a:ln w="952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B21F233" id="Straight Connector 7" o:spid="_x0000_s1026"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30.9pt" to="542.1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" strokecolor="red">
                <v:stroke joinstyle="miter"/>
                <w10:wrap anchorx="margin"/>
              </v:line>
            </w:pict>
          </mc:Fallback>
        </mc:AlternateContent>
      </w:r>
      <w:r w:rsidR="00ED5665">
        <w:rPr>
          <w:rFonts w:ascii="Gotham Medium" w:hAnsi="Gotham Medium"/>
          <w:noProof/>
          <w:color w:val="002060"/>
          <w:sz w:val="40"/>
          <w:szCs w:val="40"/>
        </w:rPr>
        <w:t>May</w:t>
      </w:r>
      <w:r w:rsidR="00BC230D">
        <w:rPr>
          <w:rFonts w:ascii="Gotham Medium" w:hAnsi="Gotham Medium"/>
          <w:noProof/>
          <w:color w:val="002060"/>
          <w:sz w:val="40"/>
          <w:szCs w:val="40"/>
        </w:rPr>
        <w:t xml:space="preserve"> </w:t>
      </w:r>
      <w:r w:rsidR="007230B2">
        <w:rPr>
          <w:rFonts w:ascii="Gotham Medium" w:hAnsi="Gotham Medium"/>
          <w:noProof/>
          <w:color w:val="002060"/>
          <w:sz w:val="40"/>
          <w:szCs w:val="40"/>
        </w:rPr>
        <w:t>30</w:t>
      </w:r>
      <w:r w:rsidR="00BC230D">
        <w:rPr>
          <w:rFonts w:ascii="Gotham Medium" w:hAnsi="Gotham Medium"/>
          <w:noProof/>
          <w:color w:val="002060"/>
          <w:sz w:val="40"/>
          <w:szCs w:val="40"/>
        </w:rPr>
        <w:t>, 202</w:t>
      </w:r>
      <w:r w:rsidR="007230B2">
        <w:rPr>
          <w:rFonts w:ascii="Gotham Medium" w:hAnsi="Gotham Medium"/>
          <w:noProof/>
          <w:color w:val="002060"/>
          <w:sz w:val="40"/>
          <w:szCs w:val="40"/>
        </w:rPr>
        <w:t>5</w:t>
      </w:r>
      <w:r w:rsidR="00BC230D">
        <w:rPr>
          <w:rFonts w:ascii="Gotham Medium" w:hAnsi="Gotham Medium"/>
          <w:noProof/>
          <w:color w:val="002060"/>
          <w:sz w:val="40"/>
          <w:szCs w:val="40"/>
        </w:rPr>
        <w:t xml:space="preserve"> – </w:t>
      </w:r>
      <w:r w:rsidR="007230B2">
        <w:rPr>
          <w:rFonts w:ascii="Gotham Medium" w:hAnsi="Gotham Medium"/>
          <w:noProof/>
          <w:color w:val="002060"/>
          <w:sz w:val="40"/>
          <w:szCs w:val="40"/>
        </w:rPr>
        <w:t>June</w:t>
      </w:r>
      <w:r w:rsidR="00BC230D">
        <w:rPr>
          <w:rFonts w:ascii="Gotham Medium" w:hAnsi="Gotham Medium"/>
          <w:noProof/>
          <w:color w:val="002060"/>
          <w:sz w:val="40"/>
          <w:szCs w:val="40"/>
        </w:rPr>
        <w:t xml:space="preserve"> </w:t>
      </w:r>
      <w:r w:rsidR="007230B2">
        <w:rPr>
          <w:rFonts w:ascii="Gotham Medium" w:hAnsi="Gotham Medium"/>
          <w:noProof/>
          <w:color w:val="002060"/>
          <w:sz w:val="40"/>
          <w:szCs w:val="40"/>
        </w:rPr>
        <w:t>5</w:t>
      </w:r>
      <w:r w:rsidR="00BC230D">
        <w:rPr>
          <w:rFonts w:ascii="Gotham Medium" w:hAnsi="Gotham Medium"/>
          <w:noProof/>
          <w:color w:val="002060"/>
          <w:sz w:val="40"/>
          <w:szCs w:val="40"/>
        </w:rPr>
        <w:t>, 202</w:t>
      </w:r>
      <w:r w:rsidR="007230B2">
        <w:rPr>
          <w:rFonts w:ascii="Gotham Medium" w:hAnsi="Gotham Medium"/>
          <w:noProof/>
          <w:color w:val="002060"/>
          <w:sz w:val="40"/>
          <w:szCs w:val="40"/>
        </w:rPr>
        <w:t>5</w:t>
      </w:r>
    </w:p>
    <w:p w14:paraId="4B8D5073" w14:textId="1886CBE5" w:rsidR="00DD4637" w:rsidRDefault="00B81EEE" w:rsidP="00783D5F">
      <w:pPr>
        <w:ind w:left="720" w:right="720"/>
        <w:jc w:val="center"/>
        <w:rPr>
          <w:rFonts w:ascii="Gotham Medium" w:hAnsi="Gotham Medium"/>
          <w:color w:val="1F3468"/>
          <w:sz w:val="40"/>
          <w:szCs w:val="40"/>
        </w:rPr>
      </w:pPr>
      <w:r>
        <w:rPr>
          <w:noProof/>
        </w:rPr>
        <w:drawing>
          <wp:anchor distT="0" distB="0" distL="114300" distR="114300" simplePos="0" relativeHeight="251658241" behindDoc="0" locked="0" layoutInCell="1" allowOverlap="1" wp14:anchorId="0B8C803F" wp14:editId="3137FB38">
            <wp:simplePos x="0" y="0"/>
            <wp:positionH relativeFrom="column">
              <wp:posOffset>5643795</wp:posOffset>
            </wp:positionH>
            <wp:positionV relativeFrom="paragraph">
              <wp:posOffset>6298280</wp:posOffset>
            </wp:positionV>
            <wp:extent cx="979170" cy="979170"/>
            <wp:effectExtent l="0" t="0" r="0" b="0"/>
            <wp:wrapSquare wrapText="bothSides"/>
            <wp:docPr id="1679375789" name="Picture 3" descr="A logo with green and orang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375789" name="Picture 3" descr="A logo with green and orange square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9170" cy="9791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CB327D" w14:textId="1D030941" w:rsidR="00846D71" w:rsidRDefault="00846D71" w:rsidP="00DC6A18">
      <w:pPr>
        <w:ind w:left="720" w:right="720"/>
        <w:rPr>
          <w:rFonts w:ascii="Gotham Medium" w:hAnsi="Gotham Medium"/>
          <w:color w:val="1F3468"/>
          <w:sz w:val="40"/>
          <w:szCs w:val="40"/>
        </w:rPr>
        <w:sectPr w:rsidR="00846D71" w:rsidSect="00B56E1D">
          <w:type w:val="continuous"/>
          <w:pgSz w:w="12240" w:h="15840"/>
          <w:pgMar w:top="720" w:right="720" w:bottom="720" w:left="720" w:header="720" w:footer="720" w:gutter="0"/>
          <w:cols w:space="720"/>
          <w:docGrid w:linePitch="360"/>
        </w:sectPr>
      </w:pPr>
    </w:p>
    <w:p w14:paraId="710317DC" w14:textId="5E5CB633" w:rsidR="00DC6A18" w:rsidRDefault="00B81EEE" w:rsidP="00D0705D">
      <w:pPr>
        <w:pStyle w:val="Heading2"/>
        <w:numPr>
          <w:ilvl w:val="0"/>
          <w:numId w:val="0"/>
        </w:numPr>
        <w:ind w:left="720" w:hanging="720"/>
      </w:pPr>
      <w:bookmarkStart w:id="0" w:name="_Hlk125990186"/>
      <w:r>
        <w:lastRenderedPageBreak/>
        <w:t xml:space="preserve">Assessment </w:t>
      </w:r>
      <w:r w:rsidR="004C3631">
        <w:t>Overview</w:t>
      </w:r>
    </w:p>
    <w:p w14:paraId="273207E7" w14:textId="2FA39368" w:rsidR="00262FD8" w:rsidRPr="006576A0" w:rsidRDefault="00597571" w:rsidP="00262FD8">
      <w:pPr>
        <w:pStyle w:val="1-BodyText"/>
        <w:rPr>
          <w:b/>
          <w:bCs/>
        </w:rPr>
      </w:pPr>
      <w:r>
        <w:rPr>
          <w:b/>
          <w:bCs/>
        </w:rPr>
        <w:t xml:space="preserve">Net </w:t>
      </w:r>
      <w:r w:rsidR="00620298" w:rsidRPr="006576A0">
        <w:rPr>
          <w:b/>
          <w:bCs/>
        </w:rPr>
        <w:t>products:</w:t>
      </w:r>
    </w:p>
    <w:p w14:paraId="7662FF72" w14:textId="6BC67FB8" w:rsidR="00B51FC4" w:rsidRPr="00E45764" w:rsidRDefault="00B51FC4" w:rsidP="00B51FC4">
      <w:pPr>
        <w:pStyle w:val="1-BodyText"/>
        <w:numPr>
          <w:ilvl w:val="0"/>
          <w:numId w:val="6"/>
        </w:numPr>
        <w:rPr>
          <w:lang w:val="fr-FR"/>
        </w:rPr>
      </w:pPr>
      <w:proofErr w:type="spellStart"/>
      <w:r w:rsidRPr="00E45764">
        <w:rPr>
          <w:lang w:val="fr-FR"/>
        </w:rPr>
        <w:t>DuraNet</w:t>
      </w:r>
      <w:proofErr w:type="spellEnd"/>
      <w:r w:rsidRPr="00E45764">
        <w:rPr>
          <w:lang w:val="fr-FR"/>
        </w:rPr>
        <w:t>® Plus (alpha-</w:t>
      </w:r>
      <w:proofErr w:type="spellStart"/>
      <w:r w:rsidRPr="00E45764">
        <w:rPr>
          <w:lang w:val="fr-FR"/>
        </w:rPr>
        <w:t>cypermethrin</w:t>
      </w:r>
      <w:proofErr w:type="spellEnd"/>
      <w:r w:rsidRPr="00E45764">
        <w:rPr>
          <w:lang w:val="fr-FR"/>
        </w:rPr>
        <w:t xml:space="preserve"> + </w:t>
      </w:r>
      <w:proofErr w:type="spellStart"/>
      <w:r w:rsidR="00FC7BF7">
        <w:rPr>
          <w:lang w:val="fr-FR"/>
        </w:rPr>
        <w:t>piperon</w:t>
      </w:r>
      <w:r w:rsidR="00DA4398">
        <w:rPr>
          <w:lang w:val="fr-FR"/>
        </w:rPr>
        <w:t>yl</w:t>
      </w:r>
      <w:r w:rsidR="00FC7BF7">
        <w:rPr>
          <w:lang w:val="fr-FR"/>
        </w:rPr>
        <w:t>-butoxide</w:t>
      </w:r>
      <w:proofErr w:type="spellEnd"/>
      <w:r w:rsidR="00FC7BF7">
        <w:rPr>
          <w:lang w:val="fr-FR"/>
        </w:rPr>
        <w:t xml:space="preserve"> [</w:t>
      </w:r>
      <w:r w:rsidRPr="00E45764">
        <w:rPr>
          <w:lang w:val="fr-FR"/>
        </w:rPr>
        <w:t>PBO</w:t>
      </w:r>
      <w:r w:rsidR="00FC7BF7">
        <w:rPr>
          <w:lang w:val="fr-FR"/>
        </w:rPr>
        <w:t>]</w:t>
      </w:r>
      <w:r w:rsidRPr="00E45764">
        <w:rPr>
          <w:lang w:val="fr-FR"/>
        </w:rPr>
        <w:t>)</w:t>
      </w:r>
    </w:p>
    <w:p w14:paraId="1AF01F8E" w14:textId="7BCB9954" w:rsidR="006576A0" w:rsidRDefault="00B51FC4" w:rsidP="00B51FC4">
      <w:pPr>
        <w:pStyle w:val="1-BodyText"/>
        <w:numPr>
          <w:ilvl w:val="0"/>
          <w:numId w:val="6"/>
        </w:numPr>
      </w:pPr>
      <w:r>
        <w:t>Interceptor® G2</w:t>
      </w:r>
      <w:r w:rsidR="006659E3">
        <w:t xml:space="preserve"> (IG2)</w:t>
      </w:r>
      <w:r>
        <w:t xml:space="preserve"> (alpha-cypermethrin + chlorfenapyr</w:t>
      </w:r>
      <w:r w:rsidR="00F94C74">
        <w:t xml:space="preserve"> [CFP]</w:t>
      </w:r>
      <w:r>
        <w:t>)</w:t>
      </w:r>
    </w:p>
    <w:p w14:paraId="07838A84" w14:textId="2EBC8A52" w:rsidR="00620298" w:rsidRDefault="006576A0" w:rsidP="006576A0">
      <w:pPr>
        <w:pStyle w:val="1-BodyText"/>
      </w:pPr>
      <w:r w:rsidRPr="006576A0">
        <w:rPr>
          <w:b/>
          <w:bCs/>
        </w:rPr>
        <w:t>Design:</w:t>
      </w:r>
      <w:r>
        <w:t xml:space="preserve"> </w:t>
      </w:r>
      <w:r w:rsidR="00DA4398">
        <w:t xml:space="preserve">Streamlined durability monitoring (SDM) - </w:t>
      </w:r>
      <w:r w:rsidR="009A1AC3" w:rsidRPr="009A1AC3">
        <w:t>Two brands in similar zones</w:t>
      </w:r>
    </w:p>
    <w:p w14:paraId="501E2506" w14:textId="52C9697F" w:rsidR="006576A0" w:rsidRDefault="006576A0" w:rsidP="006576A0">
      <w:pPr>
        <w:pStyle w:val="1-BodyText"/>
      </w:pPr>
      <w:r w:rsidRPr="006576A0">
        <w:rPr>
          <w:b/>
          <w:bCs/>
        </w:rPr>
        <w:t>Campaign date:</w:t>
      </w:r>
      <w:r>
        <w:t xml:space="preserve"> </w:t>
      </w:r>
    </w:p>
    <w:p w14:paraId="2E3AD39D" w14:textId="77777777" w:rsidR="009A7074" w:rsidRDefault="009A7074" w:rsidP="009A7074">
      <w:pPr>
        <w:pStyle w:val="1-BodyText"/>
        <w:numPr>
          <w:ilvl w:val="0"/>
          <w:numId w:val="6"/>
        </w:numPr>
      </w:pPr>
      <w:r>
        <w:t>June 5-12, 2022, in Pitoa district</w:t>
      </w:r>
    </w:p>
    <w:p w14:paraId="487928D0" w14:textId="572E5372" w:rsidR="009A1AC3" w:rsidRDefault="009A7074" w:rsidP="009A7074">
      <w:pPr>
        <w:pStyle w:val="1-BodyText"/>
        <w:numPr>
          <w:ilvl w:val="0"/>
          <w:numId w:val="6"/>
        </w:numPr>
      </w:pPr>
      <w:r>
        <w:t>August 28-September 4, 2022, in Lagdo district</w:t>
      </w:r>
    </w:p>
    <w:p w14:paraId="0E35710A" w14:textId="2ACA762D" w:rsidR="006576A0" w:rsidRDefault="006576A0" w:rsidP="006576A0">
      <w:pPr>
        <w:pStyle w:val="1-BodyText"/>
      </w:pPr>
      <w:r w:rsidRPr="006576A0">
        <w:rPr>
          <w:b/>
          <w:bCs/>
        </w:rPr>
        <w:t>Last data collection round:</w:t>
      </w:r>
      <w:r>
        <w:t xml:space="preserve"> </w:t>
      </w:r>
      <w:r w:rsidR="00B850AF">
        <w:t>36</w:t>
      </w:r>
      <w:r w:rsidR="00A96BC2" w:rsidRPr="00A96BC2">
        <w:t xml:space="preserve"> months (</w:t>
      </w:r>
      <w:r w:rsidR="00B850AF">
        <w:t>Ma</w:t>
      </w:r>
      <w:r w:rsidR="00A96BC2" w:rsidRPr="00A96BC2">
        <w:t xml:space="preserve">y </w:t>
      </w:r>
      <w:r w:rsidR="00B850AF">
        <w:t>30</w:t>
      </w:r>
      <w:r w:rsidR="00A96BC2" w:rsidRPr="00A96BC2">
        <w:t>, 202</w:t>
      </w:r>
      <w:r w:rsidR="00B850AF">
        <w:t>5</w:t>
      </w:r>
      <w:r w:rsidR="00A96BC2" w:rsidRPr="00A96BC2">
        <w:t xml:space="preserve"> – </w:t>
      </w:r>
      <w:r w:rsidR="00B850AF">
        <w:t>June</w:t>
      </w:r>
      <w:r w:rsidR="00A96BC2" w:rsidRPr="00A96BC2">
        <w:t xml:space="preserve"> </w:t>
      </w:r>
      <w:r w:rsidR="00B850AF">
        <w:t>5</w:t>
      </w:r>
      <w:r w:rsidR="00A96BC2" w:rsidRPr="00A96BC2">
        <w:t>, 202</w:t>
      </w:r>
      <w:r w:rsidR="00B850AF">
        <w:t>5</w:t>
      </w:r>
      <w:r w:rsidR="00A96BC2" w:rsidRPr="00A96BC2">
        <w:t>)</w:t>
      </w:r>
    </w:p>
    <w:p w14:paraId="34F52468" w14:textId="06F58C45" w:rsidR="00756764" w:rsidRPr="00756764" w:rsidRDefault="00444390" w:rsidP="00A96BC2">
      <w:pPr>
        <w:pStyle w:val="Heading2"/>
        <w:numPr>
          <w:ilvl w:val="0"/>
          <w:numId w:val="0"/>
        </w:numPr>
        <w:ind w:left="720" w:hanging="720"/>
      </w:pPr>
      <w:r>
        <w:t xml:space="preserve">Assessment </w:t>
      </w:r>
      <w:r w:rsidR="006576A0">
        <w:t xml:space="preserve">Site Locations Within </w:t>
      </w:r>
      <w:r w:rsidR="00A96BC2">
        <w:t>Cameroon</w:t>
      </w:r>
    </w:p>
    <w:p w14:paraId="308A2DCC" w14:textId="2DF4ED7C" w:rsidR="006576A0" w:rsidRPr="006576A0" w:rsidRDefault="00ED548D" w:rsidP="00ED548D">
      <w:pPr>
        <w:jc w:val="center"/>
      </w:pPr>
      <w:r>
        <w:rPr>
          <w:rFonts w:ascii="Gill Sans" w:hAnsi="Gill Sans"/>
          <w:noProof/>
          <w:color w:val="002A6C"/>
          <w:sz w:val="32"/>
          <w:szCs w:val="32"/>
        </w:rPr>
        <w:drawing>
          <wp:inline distT="0" distB="0" distL="0" distR="0" wp14:anchorId="284782CB" wp14:editId="354120C8">
            <wp:extent cx="3611663" cy="4914758"/>
            <wp:effectExtent l="0" t="0" r="0" b="0"/>
            <wp:docPr id="1786662744" name="image2.png" descr="A map of a region&#10;&#10;Description automatically generated"/>
            <wp:cNvGraphicFramePr/>
            <a:graphic xmlns:a="http://schemas.openxmlformats.org/drawingml/2006/main">
              <a:graphicData uri="http://schemas.openxmlformats.org/drawingml/2006/picture">
                <pic:pic xmlns:pic="http://schemas.openxmlformats.org/drawingml/2006/picture">
                  <pic:nvPicPr>
                    <pic:cNvPr id="1786662744" name="image2.png" descr="A map of a region&#10;&#10;Description automatically generated"/>
                    <pic:cNvPicPr preferRelativeResize="0"/>
                  </pic:nvPicPr>
                  <pic:blipFill>
                    <a:blip r:embed="rId12"/>
                    <a:srcRect/>
                    <a:stretch>
                      <a:fillRect/>
                    </a:stretch>
                  </pic:blipFill>
                  <pic:spPr>
                    <a:xfrm>
                      <a:off x="0" y="0"/>
                      <a:ext cx="3611663" cy="4914758"/>
                    </a:xfrm>
                    <a:prstGeom prst="rect">
                      <a:avLst/>
                    </a:prstGeom>
                    <a:ln/>
                  </pic:spPr>
                </pic:pic>
              </a:graphicData>
            </a:graphic>
          </wp:inline>
        </w:drawing>
      </w:r>
    </w:p>
    <w:p w14:paraId="08288D74" w14:textId="77777777" w:rsidR="00832861" w:rsidRDefault="00832861">
      <w:pPr>
        <w:spacing w:line="259" w:lineRule="auto"/>
        <w:rPr>
          <w:rFonts w:ascii="Gill Sans" w:hAnsi="Gill Sans"/>
          <w:snapToGrid w:val="0"/>
          <w:color w:val="002A6C"/>
          <w:sz w:val="32"/>
          <w:szCs w:val="20"/>
        </w:rPr>
      </w:pPr>
      <w:r>
        <w:br w:type="page"/>
      </w:r>
    </w:p>
    <w:p w14:paraId="7BC21497" w14:textId="52259DEE" w:rsidR="00FD602A" w:rsidRDefault="00FD602A" w:rsidP="00D0705D">
      <w:pPr>
        <w:pStyle w:val="Heading2"/>
        <w:numPr>
          <w:ilvl w:val="0"/>
          <w:numId w:val="0"/>
        </w:numPr>
        <w:ind w:left="720" w:hanging="720"/>
      </w:pPr>
      <w:r>
        <w:t>Key Results</w:t>
      </w:r>
    </w:p>
    <w:p w14:paraId="58E371A0" w14:textId="28403888" w:rsidR="00C2122C" w:rsidRDefault="005818F9" w:rsidP="008224EF">
      <w:pPr>
        <w:pStyle w:val="1-BodyText"/>
      </w:pPr>
      <w:r w:rsidRPr="005818F9">
        <w:t>Th</w:t>
      </w:r>
      <w:r w:rsidR="006D634F">
        <w:t>e Cameroon SDM</w:t>
      </w:r>
      <w:r w:rsidRPr="005818F9">
        <w:t xml:space="preserve"> assessment was initiated by </w:t>
      </w:r>
      <w:r w:rsidR="003C4996">
        <w:t>the U</w:t>
      </w:r>
      <w:r w:rsidR="00307443">
        <w:t>.</w:t>
      </w:r>
      <w:r w:rsidR="003C4996">
        <w:t>S</w:t>
      </w:r>
      <w:r w:rsidR="00307443">
        <w:t>.</w:t>
      </w:r>
      <w:r w:rsidR="003C4996">
        <w:t xml:space="preserve"> President’s Malaria Initiative (</w:t>
      </w:r>
      <w:r w:rsidRPr="005818F9">
        <w:t>PMI</w:t>
      </w:r>
      <w:r w:rsidR="003C4996">
        <w:t>)</w:t>
      </w:r>
      <w:r w:rsidRPr="005818F9">
        <w:t xml:space="preserve"> under the </w:t>
      </w:r>
      <w:r w:rsidR="00CF09F0" w:rsidRPr="005818F9">
        <w:t>P</w:t>
      </w:r>
      <w:r w:rsidR="00CF09F0">
        <w:t>M</w:t>
      </w:r>
      <w:r w:rsidR="00CF09F0" w:rsidRPr="005818F9">
        <w:t xml:space="preserve">I </w:t>
      </w:r>
      <w:r w:rsidRPr="005818F9">
        <w:t>Evolve project in 2022</w:t>
      </w:r>
      <w:r w:rsidR="00C2122C">
        <w:t xml:space="preserve">. </w:t>
      </w:r>
      <w:r w:rsidR="006F03C1">
        <w:t xml:space="preserve">PMI’s </w:t>
      </w:r>
      <w:r w:rsidR="004B00AD">
        <w:t xml:space="preserve">January 2025 </w:t>
      </w:r>
      <w:r w:rsidR="0043647D">
        <w:t>reorientation</w:t>
      </w:r>
      <w:r w:rsidR="006F03C1">
        <w:t xml:space="preserve"> </w:t>
      </w:r>
      <w:r w:rsidR="00121EAE">
        <w:t xml:space="preserve">resulted in </w:t>
      </w:r>
      <w:r w:rsidR="00BA3CB1">
        <w:t xml:space="preserve">the </w:t>
      </w:r>
      <w:proofErr w:type="spellStart"/>
      <w:r w:rsidR="00BA3CB1">
        <w:t>haulting</w:t>
      </w:r>
      <w:proofErr w:type="spellEnd"/>
      <w:r w:rsidR="00BA3CB1">
        <w:t xml:space="preserve"> of </w:t>
      </w:r>
      <w:r w:rsidR="006D634F">
        <w:t>this work</w:t>
      </w:r>
      <w:r w:rsidR="001E6A99">
        <w:t xml:space="preserve"> </w:t>
      </w:r>
      <w:r w:rsidR="001E0289">
        <w:t xml:space="preserve">prior to </w:t>
      </w:r>
      <w:r w:rsidR="00121EAE">
        <w:t xml:space="preserve">its </w:t>
      </w:r>
      <w:r w:rsidR="001E0289">
        <w:t xml:space="preserve">endline survey round. </w:t>
      </w:r>
      <w:r w:rsidR="00775D04">
        <w:t xml:space="preserve">In April 2025, GiveWell stepped in to support endline </w:t>
      </w:r>
      <w:r w:rsidR="00DF05D3">
        <w:t>survey round</w:t>
      </w:r>
      <w:r w:rsidR="00930B08">
        <w:t xml:space="preserve"> data collection</w:t>
      </w:r>
      <w:r w:rsidR="00DF05D3">
        <w:t xml:space="preserve">, </w:t>
      </w:r>
      <w:r w:rsidR="00004701">
        <w:t xml:space="preserve">endline bioassay/chemical residue </w:t>
      </w:r>
      <w:r w:rsidR="00DF05D3">
        <w:t>analysis</w:t>
      </w:r>
      <w:r w:rsidR="00004701">
        <w:t>,</w:t>
      </w:r>
      <w:r w:rsidR="00DF05D3">
        <w:t xml:space="preserve"> and manuscript production</w:t>
      </w:r>
      <w:r w:rsidR="00B86620">
        <w:t>.</w:t>
      </w:r>
    </w:p>
    <w:p w14:paraId="3B7BC586" w14:textId="2C535BBD" w:rsidR="00CA7966" w:rsidRDefault="00A057ED" w:rsidP="008224EF">
      <w:pPr>
        <w:pStyle w:val="1-BodyText"/>
      </w:pPr>
      <w:r w:rsidRPr="00A057ED">
        <w:t xml:space="preserve">In Cameroon, the endline </w:t>
      </w:r>
      <w:r w:rsidR="00C54EB1">
        <w:t xml:space="preserve"> </w:t>
      </w:r>
      <w:r w:rsidRPr="00A057ED">
        <w:t>SDM survey</w:t>
      </w:r>
      <w:r w:rsidR="00D70E8D">
        <w:t xml:space="preserve"> round</w:t>
      </w:r>
      <w:r w:rsidRPr="00A057ED">
        <w:t xml:space="preserve"> was conducted 33 months post-campaign in Lagdo district and at 35 months</w:t>
      </w:r>
      <w:r w:rsidR="00034664">
        <w:t xml:space="preserve"> post-campaign</w:t>
      </w:r>
      <w:r w:rsidRPr="00A057ED">
        <w:t xml:space="preserve"> in Pitoa district. The timing was </w:t>
      </w:r>
      <w:r w:rsidR="002A3B14" w:rsidRPr="002A3B14">
        <w:t>brought forward</w:t>
      </w:r>
      <w:r w:rsidR="002A3B14">
        <w:t xml:space="preserve"> </w:t>
      </w:r>
      <w:r w:rsidRPr="00A057ED">
        <w:t xml:space="preserve">by </w:t>
      </w:r>
      <w:r w:rsidR="0011070A">
        <w:t>three</w:t>
      </w:r>
      <w:r w:rsidRPr="00A057ED">
        <w:t xml:space="preserve"> months in Lagdo and by </w:t>
      </w:r>
      <w:r w:rsidR="0011070A">
        <w:t>one</w:t>
      </w:r>
      <w:r w:rsidRPr="00A057ED">
        <w:t xml:space="preserve"> month in Pitoa to </w:t>
      </w:r>
      <w:r w:rsidR="00162561">
        <w:t xml:space="preserve">ensure that data collection </w:t>
      </w:r>
      <w:r w:rsidR="00D3727A">
        <w:t>was</w:t>
      </w:r>
      <w:r w:rsidR="00162561">
        <w:t xml:space="preserve"> completed prior to the </w:t>
      </w:r>
      <w:r w:rsidR="00DD047C">
        <w:t>planned</w:t>
      </w:r>
      <w:r w:rsidR="00162561" w:rsidRPr="00A057ED">
        <w:t xml:space="preserve"> </w:t>
      </w:r>
      <w:r w:rsidRPr="00A057ED">
        <w:t>mass</w:t>
      </w:r>
      <w:r w:rsidR="00765E94">
        <w:t xml:space="preserve"> insecticide-treated net</w:t>
      </w:r>
      <w:r w:rsidRPr="00A057ED">
        <w:t xml:space="preserve"> </w:t>
      </w:r>
      <w:r w:rsidR="00765E94">
        <w:t>(</w:t>
      </w:r>
      <w:r w:rsidR="00162561">
        <w:t>ITN</w:t>
      </w:r>
      <w:r w:rsidR="00765E94">
        <w:t>)</w:t>
      </w:r>
      <w:r w:rsidR="00162561">
        <w:t xml:space="preserve"> </w:t>
      </w:r>
      <w:r w:rsidRPr="00A057ED">
        <w:t>distribution campaign</w:t>
      </w:r>
      <w:r w:rsidR="00DD047C">
        <w:t xml:space="preserve"> in </w:t>
      </w:r>
      <w:r w:rsidR="004F639C">
        <w:t>assessment</w:t>
      </w:r>
      <w:r w:rsidR="00DD047C">
        <w:t xml:space="preserve"> areas</w:t>
      </w:r>
      <w:r w:rsidRPr="00A057ED">
        <w:t>.</w:t>
      </w:r>
    </w:p>
    <w:p w14:paraId="2FBC2344" w14:textId="46C602D3" w:rsidR="00D3727A" w:rsidRDefault="008F19BB" w:rsidP="008224EF">
      <w:pPr>
        <w:pStyle w:val="1-BodyText"/>
      </w:pPr>
      <w:r>
        <w:t xml:space="preserve">At </w:t>
      </w:r>
      <w:r w:rsidR="00957405">
        <w:t>endline</w:t>
      </w:r>
      <w:r>
        <w:t xml:space="preserve">, </w:t>
      </w:r>
      <w:r w:rsidR="0091067C" w:rsidRPr="0091067C">
        <w:t xml:space="preserve">ITN attrition reached 46% </w:t>
      </w:r>
      <w:r w:rsidR="00DE694C">
        <w:t xml:space="preserve">for IG2 ITNs </w:t>
      </w:r>
      <w:r w:rsidR="0091067C" w:rsidRPr="0091067C">
        <w:t xml:space="preserve">in Lagdo and 54% </w:t>
      </w:r>
      <w:r w:rsidR="00DE694C">
        <w:t xml:space="preserve">for </w:t>
      </w:r>
      <w:proofErr w:type="spellStart"/>
      <w:r w:rsidR="00DE694C">
        <w:t>DuraNet</w:t>
      </w:r>
      <w:proofErr w:type="spellEnd"/>
      <w:r w:rsidR="00DE694C">
        <w:t xml:space="preserve">® Plus </w:t>
      </w:r>
      <w:r w:rsidR="0091067C" w:rsidRPr="0091067C">
        <w:t xml:space="preserve">in </w:t>
      </w:r>
      <w:proofErr w:type="spellStart"/>
      <w:r w:rsidR="0091067C" w:rsidRPr="0091067C">
        <w:t>Pitoa</w:t>
      </w:r>
      <w:proofErr w:type="spellEnd"/>
      <w:r w:rsidR="0091067C" w:rsidRPr="0091067C">
        <w:t>. Attrition due to wear and tear was substantial at both sites, accounting for approximately one-third of the audited ITNs</w:t>
      </w:r>
      <w:r w:rsidR="00B12820">
        <w:t xml:space="preserve"> </w:t>
      </w:r>
      <w:r w:rsidR="006911DF">
        <w:t>(</w:t>
      </w:r>
      <w:r w:rsidR="0091067C" w:rsidRPr="0091067C">
        <w:t>32% in Lagdo and 35% in Pitoa</w:t>
      </w:r>
      <w:r w:rsidR="006911DF">
        <w:t>)</w:t>
      </w:r>
      <w:r w:rsidR="0091067C" w:rsidRPr="0091067C">
        <w:t>.</w:t>
      </w:r>
      <w:r w:rsidR="001B620F">
        <w:t xml:space="preserve"> </w:t>
      </w:r>
      <w:r w:rsidR="00B339F9" w:rsidRPr="00B339F9">
        <w:t xml:space="preserve">A similar SDM assessment </w:t>
      </w:r>
      <w:r w:rsidR="00B86620">
        <w:t>of IG2 IT</w:t>
      </w:r>
      <w:r w:rsidR="009B3FA4">
        <w:t>N</w:t>
      </w:r>
      <w:r w:rsidR="00B86620">
        <w:t xml:space="preserve">s </w:t>
      </w:r>
      <w:r w:rsidR="00B339F9" w:rsidRPr="00B339F9">
        <w:t xml:space="preserve">in Liberia reported  higher total attrition </w:t>
      </w:r>
      <w:r w:rsidR="00CF7DF4">
        <w:t>(</w:t>
      </w:r>
      <w:r w:rsidR="00B339F9" w:rsidRPr="00B339F9">
        <w:t>55%</w:t>
      </w:r>
      <w:r w:rsidR="00CF7DF4">
        <w:t>)</w:t>
      </w:r>
      <w:r w:rsidR="00B339F9" w:rsidRPr="00B339F9">
        <w:t xml:space="preserve"> but lower attrition rate due to wear and tear (12%)</w:t>
      </w:r>
      <w:r w:rsidR="000F1359">
        <w:t xml:space="preserve">, suggesting </w:t>
      </w:r>
      <w:r w:rsidR="00B339F9" w:rsidRPr="00B339F9">
        <w:t xml:space="preserve">that although more nets were lost overall in Liberia, a greater proportion of </w:t>
      </w:r>
      <w:r w:rsidR="009B3FA4">
        <w:t>ITNs were lost</w:t>
      </w:r>
      <w:r w:rsidR="00B339F9" w:rsidRPr="00B339F9">
        <w:t xml:space="preserve"> in Cameroon was due to</w:t>
      </w:r>
      <w:r w:rsidR="00B339F9">
        <w:t xml:space="preserve"> wear and tear</w:t>
      </w:r>
      <w:r w:rsidR="000F1359">
        <w:t xml:space="preserve">. However, </w:t>
      </w:r>
      <w:proofErr w:type="gramStart"/>
      <w:r w:rsidR="00CF6525">
        <w:t>due</w:t>
      </w:r>
      <w:proofErr w:type="gramEnd"/>
      <w:r w:rsidR="00CF6525">
        <w:t xml:space="preserve"> the small ITN sample size generated through the SDM methodology,</w:t>
      </w:r>
      <w:r w:rsidR="00535925">
        <w:t xml:space="preserve"> direct comparisons of approximated attrition values</w:t>
      </w:r>
      <w:r w:rsidR="00930B08">
        <w:t xml:space="preserve"> across studies</w:t>
      </w:r>
      <w:r w:rsidR="00535925">
        <w:t xml:space="preserve"> should be </w:t>
      </w:r>
      <w:r w:rsidR="008149B7">
        <w:t>interpreted</w:t>
      </w:r>
      <w:r w:rsidR="00535925">
        <w:t xml:space="preserve"> with caution.</w:t>
      </w:r>
      <w:r w:rsidR="00CF6525">
        <w:t xml:space="preserve"> </w:t>
      </w:r>
    </w:p>
    <w:p w14:paraId="11878BD9" w14:textId="4B8C9FD7" w:rsidR="00780EBF" w:rsidRDefault="00C50111" w:rsidP="008224EF">
      <w:pPr>
        <w:pStyle w:val="1-BodyText"/>
      </w:pPr>
      <w:r w:rsidRPr="008224EF">
        <w:t xml:space="preserve">The proportion of nets remaining in serviceable condition </w:t>
      </w:r>
      <w:r w:rsidR="006911DF">
        <w:t xml:space="preserve">at endline </w:t>
      </w:r>
      <w:r w:rsidRPr="008224EF">
        <w:t xml:space="preserve">was similar in both </w:t>
      </w:r>
      <w:r w:rsidR="00C60A80">
        <w:t>sites</w:t>
      </w:r>
      <w:r w:rsidRPr="008224EF">
        <w:t xml:space="preserve"> (</w:t>
      </w:r>
      <w:r w:rsidR="001B3BB1">
        <w:t xml:space="preserve">77% in </w:t>
      </w:r>
      <w:r w:rsidR="00C60A80">
        <w:t>Lagdo</w:t>
      </w:r>
      <w:r w:rsidRPr="008224EF">
        <w:t xml:space="preserve"> vs. </w:t>
      </w:r>
      <w:r w:rsidR="001B3BB1">
        <w:t>87% in Pitoa</w:t>
      </w:r>
      <w:r w:rsidRPr="008224EF">
        <w:t>).</w:t>
      </w:r>
      <w:r w:rsidR="00201363">
        <w:t xml:space="preserve"> </w:t>
      </w:r>
      <w:r w:rsidR="006911DF">
        <w:t>The s</w:t>
      </w:r>
      <w:r w:rsidR="00201363">
        <w:t xml:space="preserve">ame trend was observed for the proportion of </w:t>
      </w:r>
      <w:r w:rsidR="00535925">
        <w:t>sampled</w:t>
      </w:r>
      <w:r w:rsidR="00201363" w:rsidRPr="008224EF">
        <w:t xml:space="preserve"> nets hanging over sleeping spaces (tied or untied)</w:t>
      </w:r>
      <w:r w:rsidR="001724D8">
        <w:t xml:space="preserve">, </w:t>
      </w:r>
      <w:r w:rsidR="0006584E" w:rsidRPr="0006584E">
        <w:t>recorded at 70% in Lagdo and 80% in Pitoa</w:t>
      </w:r>
      <w:r w:rsidR="00F90E7C">
        <w:t>.</w:t>
      </w:r>
    </w:p>
    <w:p w14:paraId="16971707" w14:textId="77777777" w:rsidR="002F45B6" w:rsidRDefault="00FE0475" w:rsidP="00002E9B">
      <w:pPr>
        <w:pStyle w:val="1-BodyText"/>
      </w:pPr>
      <w:r w:rsidRPr="00F24CFA">
        <w:t xml:space="preserve">Both ITN brands remained highly effective against pyrethroid-susceptible mosquitoes after 36 months of field use, achieving over 99% 24-hour mortality with </w:t>
      </w:r>
      <w:proofErr w:type="spellStart"/>
      <w:r w:rsidRPr="00F24CFA">
        <w:t>DuraNet</w:t>
      </w:r>
      <w:proofErr w:type="spellEnd"/>
      <w:r w:rsidRPr="00F24CFA">
        <w:t xml:space="preserve">® Plus and 81% 72-hour mortality with </w:t>
      </w:r>
      <w:r w:rsidR="0012445D">
        <w:t>IG2</w:t>
      </w:r>
      <w:r w:rsidRPr="00F24CFA">
        <w:t>.</w:t>
      </w:r>
      <w:r w:rsidR="00940519">
        <w:t xml:space="preserve"> </w:t>
      </w:r>
    </w:p>
    <w:p w14:paraId="571DEC5B" w14:textId="5A17E623" w:rsidR="00002E9B" w:rsidRDefault="00FE0475" w:rsidP="00002E9B">
      <w:pPr>
        <w:pStyle w:val="1-BodyText"/>
      </w:pPr>
      <w:proofErr w:type="spellStart"/>
      <w:r w:rsidRPr="00385EE2">
        <w:t>DuraNet</w:t>
      </w:r>
      <w:proofErr w:type="spellEnd"/>
      <w:r w:rsidRPr="00385EE2">
        <w:t xml:space="preserve">® Plus showed </w:t>
      </w:r>
      <w:r w:rsidR="00A51F99">
        <w:t>poor</w:t>
      </w:r>
      <w:r w:rsidRPr="00385EE2">
        <w:t xml:space="preserve"> efficacy against the pyrethroid-resistant </w:t>
      </w:r>
      <w:proofErr w:type="spellStart"/>
      <w:r w:rsidRPr="00385EE2">
        <w:t>Monatele</w:t>
      </w:r>
      <w:proofErr w:type="spellEnd"/>
      <w:r w:rsidRPr="00385EE2">
        <w:t xml:space="preserve"> An. gambiae </w:t>
      </w:r>
      <w:proofErr w:type="spellStart"/>
      <w:r w:rsidRPr="00385EE2">
        <w:t>s.l.</w:t>
      </w:r>
      <w:proofErr w:type="spellEnd"/>
      <w:r w:rsidRPr="00385EE2">
        <w:t xml:space="preserve"> strain, with 24-hour mortality remaining low across rounds </w:t>
      </w:r>
      <w:r w:rsidR="009F10B2">
        <w:t>and</w:t>
      </w:r>
      <w:r w:rsidRPr="00385EE2">
        <w:t xml:space="preserve"> declining from 27% at pre-distribution to 5% at </w:t>
      </w:r>
      <w:r w:rsidR="009F10B2">
        <w:t>endline</w:t>
      </w:r>
      <w:r w:rsidRPr="00385EE2">
        <w:t>.</w:t>
      </w:r>
      <w:r>
        <w:t xml:space="preserve"> </w:t>
      </w:r>
      <w:r w:rsidR="00002E9B" w:rsidRPr="00DD34BD">
        <w:t xml:space="preserve">PBO </w:t>
      </w:r>
      <w:r w:rsidR="00002E9B">
        <w:t xml:space="preserve">content </w:t>
      </w:r>
      <w:r w:rsidR="00002E9B" w:rsidRPr="00DD34BD">
        <w:t xml:space="preserve">loss </w:t>
      </w:r>
      <w:r w:rsidR="00371003">
        <w:t>rose</w:t>
      </w:r>
      <w:r w:rsidR="00002E9B" w:rsidRPr="00DD34BD">
        <w:t xml:space="preserve"> from 9% at pre-distribution to 82% at</w:t>
      </w:r>
      <w:r w:rsidR="00002E9B">
        <w:t xml:space="preserve"> endline</w:t>
      </w:r>
      <w:r w:rsidR="00371003">
        <w:t xml:space="preserve"> compared to the manufacturer target dose</w:t>
      </w:r>
      <w:r w:rsidR="00002E9B" w:rsidRPr="00DD34BD">
        <w:t>.</w:t>
      </w:r>
      <w:r w:rsidR="00002E9B">
        <w:t xml:space="preserve"> </w:t>
      </w:r>
    </w:p>
    <w:p w14:paraId="1B498D99" w14:textId="5055C528" w:rsidR="00240FD0" w:rsidRDefault="00E63A01" w:rsidP="00255A88">
      <w:pPr>
        <w:pStyle w:val="1-BodyText"/>
      </w:pPr>
      <w:r>
        <w:t>IG2 ITN</w:t>
      </w:r>
      <w:r w:rsidR="00FE0475" w:rsidRPr="00385EE2">
        <w:t xml:space="preserve"> 72-hour mortality </w:t>
      </w:r>
      <w:r w:rsidR="00002E9B" w:rsidRPr="00385EE2">
        <w:t xml:space="preserve">against the pyrethroid-resistant </w:t>
      </w:r>
      <w:proofErr w:type="spellStart"/>
      <w:r w:rsidR="00002E9B" w:rsidRPr="00385EE2">
        <w:t>Monatele</w:t>
      </w:r>
      <w:proofErr w:type="spellEnd"/>
      <w:r w:rsidR="00002E9B" w:rsidRPr="00385EE2">
        <w:t xml:space="preserve"> An. gambiae </w:t>
      </w:r>
      <w:proofErr w:type="spellStart"/>
      <w:r w:rsidR="00002E9B" w:rsidRPr="00385EE2">
        <w:t>s.l.</w:t>
      </w:r>
      <w:proofErr w:type="spellEnd"/>
      <w:r w:rsidR="00002E9B" w:rsidRPr="00385EE2">
        <w:t xml:space="preserve"> strain </w:t>
      </w:r>
      <w:r w:rsidR="00FE0475" w:rsidRPr="00385EE2">
        <w:t xml:space="preserve">declined from 87% at pre-distribution to 55% </w:t>
      </w:r>
      <w:proofErr w:type="gramStart"/>
      <w:r w:rsidR="00FE0475" w:rsidRPr="00385EE2">
        <w:t>at</w:t>
      </w:r>
      <w:proofErr w:type="gramEnd"/>
      <w:r w:rsidR="00FE0475" w:rsidRPr="00385EE2">
        <w:t xml:space="preserve"> 36 months.</w:t>
      </w:r>
      <w:r w:rsidR="00875019">
        <w:t xml:space="preserve"> </w:t>
      </w:r>
      <w:r w:rsidR="00002E9B">
        <w:t>C</w:t>
      </w:r>
      <w:r w:rsidR="0062384A" w:rsidRPr="00DD34BD">
        <w:t>hlorfenapyr content decreased substantially, with loss</w:t>
      </w:r>
      <w:r w:rsidR="005539A4">
        <w:t>es</w:t>
      </w:r>
      <w:r w:rsidR="0062384A" w:rsidRPr="00DD34BD">
        <w:t xml:space="preserve"> increasing from 17% at pre-distribution to 79%</w:t>
      </w:r>
      <w:r w:rsidR="00002E9B">
        <w:t xml:space="preserve"> compared to the manufacturer target dose</w:t>
      </w:r>
      <w:r w:rsidR="0062384A" w:rsidRPr="00DD34BD">
        <w:t xml:space="preserve"> at </w:t>
      </w:r>
      <w:r w:rsidR="004B23F8">
        <w:t>endline</w:t>
      </w:r>
      <w:r w:rsidR="0062384A" w:rsidRPr="00DD34BD">
        <w:t xml:space="preserve">. </w:t>
      </w:r>
      <w:r w:rsidR="00D337C0">
        <w:t xml:space="preserve">IG2 </w:t>
      </w:r>
      <w:r>
        <w:t xml:space="preserve">bioassay and chemical residue testing </w:t>
      </w:r>
      <w:r w:rsidR="00D337C0">
        <w:t>results</w:t>
      </w:r>
      <w:r w:rsidR="00F64C3E">
        <w:t xml:space="preserve"> </w:t>
      </w:r>
      <w:r w:rsidR="00F64C3E" w:rsidRPr="00F64C3E">
        <w:t xml:space="preserve">throughout the </w:t>
      </w:r>
      <w:r w:rsidR="003D0282">
        <w:t xml:space="preserve">assessment </w:t>
      </w:r>
      <w:r w:rsidR="00A15B9A">
        <w:t>are</w:t>
      </w:r>
      <w:r w:rsidR="00D337C0">
        <w:t xml:space="preserve"> similar with PMI VectorLink’s durability monitoring assessment in Burkina Faso</w:t>
      </w:r>
      <w:r w:rsidR="00D337C0" w:rsidRPr="004A3C5E">
        <w:rPr>
          <w:rStyle w:val="FootnoteReference"/>
        </w:rPr>
        <w:footnoteReference w:id="2"/>
      </w:r>
      <w:r w:rsidR="00D337C0">
        <w:t>.</w:t>
      </w:r>
    </w:p>
    <w:p w14:paraId="61962F01" w14:textId="77777777" w:rsidR="00240FD0" w:rsidRDefault="00240FD0">
      <w:pPr>
        <w:spacing w:after="160" w:line="259" w:lineRule="auto"/>
        <w:rPr>
          <w:rFonts w:ascii="Gill Sans Nova Light" w:eastAsiaTheme="minorHAnsi" w:hAnsi="Gill Sans Nova Light" w:cstheme="minorBidi"/>
          <w:sz w:val="22"/>
          <w:szCs w:val="22"/>
        </w:rPr>
      </w:pPr>
      <w:r>
        <w:br w:type="page"/>
      </w:r>
    </w:p>
    <w:tbl>
      <w:tblPr>
        <w:tblStyle w:val="TableGrid"/>
        <w:tblW w:w="11880" w:type="dxa"/>
        <w:jc w:val="center"/>
        <w:tblBorders>
          <w:left w:val="none" w:sz="0" w:space="0" w:color="auto"/>
          <w:right w:val="none" w:sz="0" w:space="0" w:color="auto"/>
        </w:tblBorders>
        <w:tblLayout w:type="fixed"/>
        <w:tblLook w:val="04A0" w:firstRow="1" w:lastRow="0" w:firstColumn="1" w:lastColumn="0" w:noHBand="0" w:noVBand="1"/>
      </w:tblPr>
      <w:tblGrid>
        <w:gridCol w:w="990"/>
        <w:gridCol w:w="1210"/>
        <w:gridCol w:w="1210"/>
        <w:gridCol w:w="1210"/>
        <w:gridCol w:w="1210"/>
        <w:gridCol w:w="1210"/>
        <w:gridCol w:w="1210"/>
        <w:gridCol w:w="1210"/>
        <w:gridCol w:w="1210"/>
        <w:gridCol w:w="1210"/>
      </w:tblGrid>
      <w:tr w:rsidR="009860DB" w:rsidRPr="003F01CD" w14:paraId="3AD50055" w14:textId="4192C2F9" w:rsidTr="00775A14">
        <w:trPr>
          <w:trHeight w:val="1291"/>
          <w:jc w:val="center"/>
        </w:trPr>
        <w:tc>
          <w:tcPr>
            <w:tcW w:w="990" w:type="dxa"/>
            <w:shd w:val="clear" w:color="auto" w:fill="0067B9"/>
          </w:tcPr>
          <w:p w14:paraId="0F3105AB" w14:textId="278A6F89" w:rsidR="009860DB" w:rsidRPr="003F01CD" w:rsidRDefault="009860DB" w:rsidP="00844901">
            <w:pPr>
              <w:pStyle w:val="TableHeader"/>
            </w:pPr>
            <w:r w:rsidRPr="003F01CD">
              <w:t>Site</w:t>
            </w:r>
          </w:p>
        </w:tc>
        <w:tc>
          <w:tcPr>
            <w:tcW w:w="1210" w:type="dxa"/>
            <w:shd w:val="clear" w:color="auto" w:fill="0067B9"/>
          </w:tcPr>
          <w:p w14:paraId="66B3245F" w14:textId="1853D8E7" w:rsidR="009860DB" w:rsidRPr="003F01CD" w:rsidRDefault="009860DB" w:rsidP="00844901">
            <w:pPr>
              <w:pStyle w:val="TableHeader"/>
            </w:pPr>
            <w:r w:rsidRPr="003F01CD">
              <w:t>Survey round and time since distribution (months)</w:t>
            </w:r>
          </w:p>
        </w:tc>
        <w:tc>
          <w:tcPr>
            <w:tcW w:w="1210" w:type="dxa"/>
            <w:tcBorders>
              <w:bottom w:val="single" w:sz="4" w:space="0" w:color="auto"/>
            </w:tcBorders>
            <w:shd w:val="clear" w:color="auto" w:fill="0067B9"/>
          </w:tcPr>
          <w:p w14:paraId="79CCA02D" w14:textId="228F77B5" w:rsidR="00F94C74" w:rsidRDefault="009860DB" w:rsidP="00844901">
            <w:pPr>
              <w:pStyle w:val="TableHeader"/>
            </w:pPr>
            <w:r w:rsidRPr="003F01CD">
              <w:t xml:space="preserve">Attrition </w:t>
            </w:r>
            <w:r w:rsidR="00D81E3A">
              <w:t xml:space="preserve">due to </w:t>
            </w:r>
            <w:r w:rsidRPr="003F01CD">
              <w:t xml:space="preserve">wear and </w:t>
            </w:r>
            <w:proofErr w:type="gramStart"/>
            <w:r w:rsidRPr="003F01CD">
              <w:t>tear</w:t>
            </w:r>
            <w:proofErr w:type="gramEnd"/>
            <w:r w:rsidRPr="003F01CD">
              <w:t xml:space="preserve"> </w:t>
            </w:r>
          </w:p>
          <w:p w14:paraId="018733A5" w14:textId="2B15AE4E" w:rsidR="009860DB" w:rsidRPr="003F01CD" w:rsidRDefault="009860DB" w:rsidP="00844901">
            <w:pPr>
              <w:pStyle w:val="TableHeader"/>
            </w:pPr>
            <w:r w:rsidRPr="003F01CD">
              <w:t>(%)</w:t>
            </w:r>
          </w:p>
        </w:tc>
        <w:tc>
          <w:tcPr>
            <w:tcW w:w="1210" w:type="dxa"/>
            <w:tcBorders>
              <w:bottom w:val="single" w:sz="4" w:space="0" w:color="auto"/>
            </w:tcBorders>
            <w:shd w:val="clear" w:color="auto" w:fill="0067B9"/>
          </w:tcPr>
          <w:p w14:paraId="40D2BD44" w14:textId="77777777" w:rsidR="00F94C74" w:rsidRDefault="009860DB" w:rsidP="00C62781">
            <w:pPr>
              <w:pStyle w:val="TableHeader"/>
            </w:pPr>
            <w:r w:rsidRPr="003F01CD">
              <w:t xml:space="preserve">Remaining nets in serviceable condition </w:t>
            </w:r>
          </w:p>
          <w:p w14:paraId="675EC2F6" w14:textId="1FA1BADD" w:rsidR="009860DB" w:rsidRPr="003F01CD" w:rsidRDefault="009860DB" w:rsidP="00C62781">
            <w:pPr>
              <w:pStyle w:val="TableHeader"/>
            </w:pPr>
            <w:r w:rsidRPr="003F01CD">
              <w:t xml:space="preserve">N </w:t>
            </w:r>
            <w:r w:rsidR="00E32DEC">
              <w:t>(</w:t>
            </w:r>
            <w:r w:rsidRPr="003F01CD">
              <w:t>%</w:t>
            </w:r>
            <w:r w:rsidR="00E32DEC">
              <w:t>)</w:t>
            </w:r>
          </w:p>
        </w:tc>
        <w:tc>
          <w:tcPr>
            <w:tcW w:w="1210" w:type="dxa"/>
            <w:tcBorders>
              <w:bottom w:val="single" w:sz="4" w:space="0" w:color="auto"/>
            </w:tcBorders>
            <w:shd w:val="clear" w:color="auto" w:fill="0067B9"/>
          </w:tcPr>
          <w:p w14:paraId="375D12D1" w14:textId="77777777" w:rsidR="00F94C74" w:rsidRDefault="009860DB" w:rsidP="00844901">
            <w:pPr>
              <w:pStyle w:val="TableHeader"/>
            </w:pPr>
            <w:r w:rsidRPr="003F01CD">
              <w:t xml:space="preserve">Remaining nets hanging over sleeping space </w:t>
            </w:r>
          </w:p>
          <w:p w14:paraId="46027309" w14:textId="1DC55BBD" w:rsidR="009860DB" w:rsidRPr="003F01CD" w:rsidRDefault="009860DB" w:rsidP="00844901">
            <w:pPr>
              <w:pStyle w:val="TableHeader"/>
            </w:pPr>
            <w:r w:rsidRPr="003F01CD">
              <w:t>(%)</w:t>
            </w:r>
          </w:p>
        </w:tc>
        <w:tc>
          <w:tcPr>
            <w:tcW w:w="1210" w:type="dxa"/>
            <w:shd w:val="clear" w:color="auto" w:fill="0067B9"/>
          </w:tcPr>
          <w:p w14:paraId="23F326EF" w14:textId="77777777" w:rsidR="00F94C74" w:rsidRDefault="009860DB" w:rsidP="00844901">
            <w:pPr>
              <w:pStyle w:val="TableHeader"/>
            </w:pPr>
            <w:r w:rsidRPr="003F01CD">
              <w:t xml:space="preserve">24/72 – hour mortality against resistant mosquito strain </w:t>
            </w:r>
          </w:p>
          <w:p w14:paraId="17C55735" w14:textId="27027299" w:rsidR="009860DB" w:rsidRPr="003F01CD" w:rsidRDefault="009860DB" w:rsidP="00844901">
            <w:pPr>
              <w:pStyle w:val="TableHeader"/>
            </w:pPr>
            <w:r w:rsidRPr="003F01CD">
              <w:t>(%)</w:t>
            </w:r>
          </w:p>
        </w:tc>
        <w:tc>
          <w:tcPr>
            <w:tcW w:w="1210" w:type="dxa"/>
            <w:shd w:val="clear" w:color="auto" w:fill="0067B9"/>
          </w:tcPr>
          <w:p w14:paraId="3635B33E" w14:textId="4F9FBFF5" w:rsidR="009860DB" w:rsidRPr="003F01CD" w:rsidRDefault="009860DB" w:rsidP="00844901">
            <w:pPr>
              <w:pStyle w:val="TableHeader"/>
            </w:pPr>
            <w:r w:rsidRPr="003F01CD">
              <w:t xml:space="preserve">Mean </w:t>
            </w:r>
            <w:r w:rsidR="00F94C74">
              <w:t>CFP</w:t>
            </w:r>
            <w:r w:rsidR="00F94C74" w:rsidRPr="003F01CD">
              <w:t xml:space="preserve"> </w:t>
            </w:r>
            <w:r w:rsidRPr="003F01CD">
              <w:t>chemical content (g/kg)</w:t>
            </w:r>
          </w:p>
        </w:tc>
        <w:tc>
          <w:tcPr>
            <w:tcW w:w="1210" w:type="dxa"/>
            <w:shd w:val="clear" w:color="auto" w:fill="0067B9"/>
          </w:tcPr>
          <w:p w14:paraId="30D88F58" w14:textId="05508393" w:rsidR="009860DB" w:rsidRPr="003F01CD" w:rsidRDefault="00C77FAE" w:rsidP="00844901">
            <w:pPr>
              <w:pStyle w:val="TableHeader"/>
            </w:pPr>
            <w:r w:rsidRPr="003F01CD">
              <w:t xml:space="preserve">Reduction in </w:t>
            </w:r>
            <w:r w:rsidR="00F94C74">
              <w:t>CFP</w:t>
            </w:r>
            <w:r w:rsidRPr="003F01CD">
              <w:t xml:space="preserve"> compared to </w:t>
            </w:r>
            <w:proofErr w:type="spellStart"/>
            <w:r w:rsidRPr="003F01CD">
              <w:t>manu</w:t>
            </w:r>
            <w:r w:rsidR="006E0F90">
              <w:t>-facturer</w:t>
            </w:r>
            <w:proofErr w:type="spellEnd"/>
            <w:r w:rsidRPr="003F01CD">
              <w:t xml:space="preserve"> target dose (%)</w:t>
            </w:r>
          </w:p>
        </w:tc>
        <w:tc>
          <w:tcPr>
            <w:tcW w:w="1210" w:type="dxa"/>
            <w:shd w:val="clear" w:color="auto" w:fill="0067B9"/>
          </w:tcPr>
          <w:p w14:paraId="2C829245" w14:textId="2EF1BD3C" w:rsidR="009860DB" w:rsidRPr="003F01CD" w:rsidRDefault="00063613" w:rsidP="00844901">
            <w:pPr>
              <w:pStyle w:val="TableHeader"/>
            </w:pPr>
            <w:r w:rsidRPr="003F01CD">
              <w:t>Mean PBO chemical content (g/kg)</w:t>
            </w:r>
          </w:p>
        </w:tc>
        <w:tc>
          <w:tcPr>
            <w:tcW w:w="1210" w:type="dxa"/>
            <w:shd w:val="clear" w:color="auto" w:fill="0067B9"/>
          </w:tcPr>
          <w:p w14:paraId="364EAD70" w14:textId="11E1A440" w:rsidR="004D15BF" w:rsidRPr="003F01CD" w:rsidRDefault="004D15BF" w:rsidP="004D15BF">
            <w:pPr>
              <w:jc w:val="center"/>
              <w:rPr>
                <w:sz w:val="20"/>
                <w:szCs w:val="20"/>
              </w:rPr>
            </w:pPr>
            <w:r w:rsidRPr="00DD4769">
              <w:rPr>
                <w:rFonts w:ascii="Gill Sans Nova Light" w:eastAsiaTheme="minorHAnsi" w:hAnsi="Gill Sans Nova Light" w:cstheme="minorBidi"/>
                <w:b/>
                <w:bCs/>
                <w:color w:val="FFFFFF" w:themeColor="background1"/>
                <w:sz w:val="20"/>
                <w:szCs w:val="20"/>
              </w:rPr>
              <w:t xml:space="preserve">Reduction in PBO compared to </w:t>
            </w:r>
            <w:proofErr w:type="spellStart"/>
            <w:proofErr w:type="gramStart"/>
            <w:r w:rsidRPr="00DD4769">
              <w:rPr>
                <w:rFonts w:ascii="Gill Sans Nova Light" w:eastAsiaTheme="minorHAnsi" w:hAnsi="Gill Sans Nova Light" w:cstheme="minorBidi"/>
                <w:b/>
                <w:bCs/>
                <w:color w:val="FFFFFF" w:themeColor="background1"/>
                <w:sz w:val="20"/>
                <w:szCs w:val="20"/>
              </w:rPr>
              <w:t>manu</w:t>
            </w:r>
            <w:r w:rsidR="006E0F90">
              <w:rPr>
                <w:rFonts w:ascii="Gill Sans Nova Light" w:eastAsiaTheme="minorHAnsi" w:hAnsi="Gill Sans Nova Light" w:cstheme="minorBidi"/>
                <w:b/>
                <w:bCs/>
                <w:color w:val="FFFFFF" w:themeColor="background1"/>
                <w:sz w:val="20"/>
                <w:szCs w:val="20"/>
              </w:rPr>
              <w:t>-facturer</w:t>
            </w:r>
            <w:proofErr w:type="spellEnd"/>
            <w:proofErr w:type="gramEnd"/>
            <w:r w:rsidRPr="00DD4769">
              <w:rPr>
                <w:rFonts w:ascii="Gill Sans Nova Light" w:eastAsiaTheme="minorHAnsi" w:hAnsi="Gill Sans Nova Light" w:cstheme="minorBidi"/>
                <w:b/>
                <w:bCs/>
                <w:color w:val="FFFFFF" w:themeColor="background1"/>
                <w:sz w:val="20"/>
                <w:szCs w:val="20"/>
              </w:rPr>
              <w:t xml:space="preserve"> target dose (%)</w:t>
            </w:r>
          </w:p>
        </w:tc>
      </w:tr>
      <w:tr w:rsidR="00217144" w:rsidRPr="003F01CD" w14:paraId="518FCF5E" w14:textId="631409D2" w:rsidTr="00775A14">
        <w:trPr>
          <w:trHeight w:val="521"/>
          <w:jc w:val="center"/>
        </w:trPr>
        <w:tc>
          <w:tcPr>
            <w:tcW w:w="990" w:type="dxa"/>
            <w:vMerge w:val="restart"/>
            <w:vAlign w:val="center"/>
          </w:tcPr>
          <w:p w14:paraId="23FD8CF5" w14:textId="77777777" w:rsidR="00217144" w:rsidRPr="003F01CD" w:rsidRDefault="00217144" w:rsidP="00217144">
            <w:pPr>
              <w:pStyle w:val="1-BodyText"/>
              <w:rPr>
                <w:sz w:val="20"/>
                <w:szCs w:val="20"/>
              </w:rPr>
            </w:pPr>
            <w:r w:rsidRPr="003F01CD">
              <w:rPr>
                <w:sz w:val="20"/>
                <w:szCs w:val="20"/>
              </w:rPr>
              <w:t xml:space="preserve">Lagdo </w:t>
            </w:r>
          </w:p>
          <w:p w14:paraId="36B68A37" w14:textId="3B196DCA" w:rsidR="00217144" w:rsidRPr="003F01CD" w:rsidRDefault="00217144" w:rsidP="00217144">
            <w:pPr>
              <w:pStyle w:val="1-BodyText"/>
              <w:rPr>
                <w:sz w:val="20"/>
                <w:szCs w:val="20"/>
              </w:rPr>
            </w:pPr>
            <w:r w:rsidRPr="003F01CD">
              <w:rPr>
                <w:sz w:val="20"/>
                <w:szCs w:val="20"/>
              </w:rPr>
              <w:t>(I</w:t>
            </w:r>
            <w:r>
              <w:rPr>
                <w:sz w:val="20"/>
                <w:szCs w:val="20"/>
              </w:rPr>
              <w:t>G2</w:t>
            </w:r>
            <w:r w:rsidRPr="003F01CD">
              <w:rPr>
                <w:sz w:val="20"/>
                <w:szCs w:val="20"/>
              </w:rPr>
              <w:t>)</w:t>
            </w:r>
          </w:p>
        </w:tc>
        <w:tc>
          <w:tcPr>
            <w:tcW w:w="1210" w:type="dxa"/>
            <w:vAlign w:val="center"/>
          </w:tcPr>
          <w:p w14:paraId="13E13C25" w14:textId="7CEA4748" w:rsidR="00217144" w:rsidRPr="0048268C" w:rsidRDefault="00217144" w:rsidP="00217144">
            <w:pPr>
              <w:pStyle w:val="1-BodyText"/>
              <w:jc w:val="center"/>
              <w:rPr>
                <w:sz w:val="20"/>
                <w:szCs w:val="20"/>
              </w:rPr>
            </w:pPr>
            <w:r w:rsidRPr="0048268C">
              <w:rPr>
                <w:color w:val="000000"/>
                <w:sz w:val="20"/>
                <w:szCs w:val="20"/>
              </w:rPr>
              <w:t>Pre-</w:t>
            </w:r>
            <w:proofErr w:type="spellStart"/>
            <w:r w:rsidRPr="0048268C">
              <w:rPr>
                <w:color w:val="000000"/>
                <w:sz w:val="20"/>
                <w:szCs w:val="20"/>
              </w:rPr>
              <w:t>dist</w:t>
            </w:r>
            <w:proofErr w:type="spellEnd"/>
          </w:p>
        </w:tc>
        <w:tc>
          <w:tcPr>
            <w:tcW w:w="1210" w:type="dxa"/>
            <w:shd w:val="clear" w:color="auto" w:fill="BFBFBF" w:themeFill="background1" w:themeFillShade="BF"/>
            <w:vAlign w:val="center"/>
          </w:tcPr>
          <w:p w14:paraId="42CD1AF4" w14:textId="1B1E3B78" w:rsidR="00217144" w:rsidRPr="0048268C" w:rsidRDefault="00217144" w:rsidP="00217144">
            <w:pPr>
              <w:pStyle w:val="1-BodyText"/>
              <w:jc w:val="center"/>
              <w:rPr>
                <w:sz w:val="20"/>
                <w:szCs w:val="20"/>
              </w:rPr>
            </w:pPr>
            <w:r w:rsidRPr="0048268C">
              <w:rPr>
                <w:color w:val="000000"/>
                <w:sz w:val="20"/>
                <w:szCs w:val="20"/>
              </w:rPr>
              <w:t>--</w:t>
            </w:r>
          </w:p>
        </w:tc>
        <w:tc>
          <w:tcPr>
            <w:tcW w:w="1210" w:type="dxa"/>
            <w:shd w:val="clear" w:color="auto" w:fill="BFBFBF" w:themeFill="background1" w:themeFillShade="BF"/>
            <w:vAlign w:val="center"/>
          </w:tcPr>
          <w:p w14:paraId="53CE9677" w14:textId="28545DDB" w:rsidR="00217144" w:rsidRPr="0048268C" w:rsidRDefault="00217144" w:rsidP="00217144">
            <w:pPr>
              <w:pStyle w:val="1-BodyText"/>
              <w:jc w:val="center"/>
              <w:rPr>
                <w:sz w:val="20"/>
                <w:szCs w:val="20"/>
              </w:rPr>
            </w:pPr>
            <w:r w:rsidRPr="0048268C">
              <w:rPr>
                <w:color w:val="000000"/>
                <w:sz w:val="20"/>
                <w:szCs w:val="20"/>
              </w:rPr>
              <w:t>--</w:t>
            </w:r>
          </w:p>
        </w:tc>
        <w:tc>
          <w:tcPr>
            <w:tcW w:w="1210" w:type="dxa"/>
            <w:shd w:val="clear" w:color="auto" w:fill="BFBFBF" w:themeFill="background1" w:themeFillShade="BF"/>
            <w:vAlign w:val="center"/>
          </w:tcPr>
          <w:p w14:paraId="51645CE9" w14:textId="13103760" w:rsidR="00217144" w:rsidRPr="0048268C" w:rsidRDefault="00217144" w:rsidP="00217144">
            <w:pPr>
              <w:pStyle w:val="1-BodyText"/>
              <w:jc w:val="center"/>
              <w:rPr>
                <w:sz w:val="20"/>
                <w:szCs w:val="20"/>
              </w:rPr>
            </w:pPr>
            <w:r w:rsidRPr="0048268C">
              <w:rPr>
                <w:color w:val="000000"/>
                <w:sz w:val="20"/>
                <w:szCs w:val="20"/>
              </w:rPr>
              <w:t>--</w:t>
            </w:r>
          </w:p>
        </w:tc>
        <w:tc>
          <w:tcPr>
            <w:tcW w:w="1210" w:type="dxa"/>
            <w:vAlign w:val="center"/>
          </w:tcPr>
          <w:p w14:paraId="2BFF69BD" w14:textId="6736089B" w:rsidR="00217144" w:rsidRPr="0048268C" w:rsidRDefault="00217144" w:rsidP="00217144">
            <w:pPr>
              <w:pStyle w:val="1-BodyText"/>
              <w:jc w:val="center"/>
              <w:rPr>
                <w:color w:val="000000"/>
                <w:sz w:val="20"/>
                <w:szCs w:val="20"/>
              </w:rPr>
            </w:pPr>
            <w:r>
              <w:rPr>
                <w:color w:val="000000"/>
                <w:sz w:val="20"/>
                <w:szCs w:val="20"/>
              </w:rPr>
              <w:t>8</w:t>
            </w:r>
            <w:r w:rsidR="001C4E64">
              <w:rPr>
                <w:color w:val="000000"/>
                <w:sz w:val="20"/>
                <w:szCs w:val="20"/>
              </w:rPr>
              <w:t>6</w:t>
            </w:r>
            <w:r>
              <w:rPr>
                <w:color w:val="000000"/>
                <w:sz w:val="20"/>
                <w:szCs w:val="20"/>
              </w:rPr>
              <w:t>.</w:t>
            </w:r>
            <w:r w:rsidR="001C4E64">
              <w:rPr>
                <w:color w:val="000000"/>
                <w:sz w:val="20"/>
                <w:szCs w:val="20"/>
              </w:rPr>
              <w:t>7</w:t>
            </w:r>
            <w:r>
              <w:rPr>
                <w:color w:val="000000"/>
                <w:sz w:val="20"/>
                <w:szCs w:val="20"/>
              </w:rPr>
              <w:t>%</w:t>
            </w:r>
            <w:r w:rsidRPr="005B7ED8">
              <w:rPr>
                <w:color w:val="000000"/>
                <w:sz w:val="20"/>
                <w:szCs w:val="20"/>
                <w:vertAlign w:val="superscript"/>
              </w:rPr>
              <w:t>a</w:t>
            </w:r>
          </w:p>
        </w:tc>
        <w:tc>
          <w:tcPr>
            <w:tcW w:w="1210" w:type="dxa"/>
            <w:vAlign w:val="center"/>
          </w:tcPr>
          <w:p w14:paraId="1C987AEE" w14:textId="5E9408FB" w:rsidR="00217144" w:rsidRPr="0048268C" w:rsidRDefault="00217144" w:rsidP="00217144">
            <w:pPr>
              <w:jc w:val="center"/>
              <w:rPr>
                <w:color w:val="000000"/>
                <w:sz w:val="20"/>
                <w:szCs w:val="20"/>
              </w:rPr>
            </w:pPr>
            <w:r w:rsidRPr="006E692F">
              <w:rPr>
                <w:rFonts w:ascii="Gill Sans Nova Light" w:eastAsiaTheme="minorHAnsi" w:hAnsi="Gill Sans Nova Light" w:cstheme="minorBidi"/>
                <w:sz w:val="20"/>
                <w:szCs w:val="20"/>
              </w:rPr>
              <w:t>4.0</w:t>
            </w:r>
          </w:p>
        </w:tc>
        <w:tc>
          <w:tcPr>
            <w:tcW w:w="1210" w:type="dxa"/>
            <w:vAlign w:val="center"/>
          </w:tcPr>
          <w:p w14:paraId="765BF46A" w14:textId="4CEEA6D0" w:rsidR="00217144" w:rsidRPr="0048268C" w:rsidRDefault="00217144" w:rsidP="00217144">
            <w:pPr>
              <w:pStyle w:val="1-BodyText"/>
              <w:jc w:val="center"/>
              <w:rPr>
                <w:sz w:val="20"/>
                <w:szCs w:val="20"/>
              </w:rPr>
            </w:pPr>
            <w:r>
              <w:rPr>
                <w:sz w:val="20"/>
                <w:szCs w:val="20"/>
              </w:rPr>
              <w:t>16.7</w:t>
            </w:r>
            <w:r w:rsidRPr="0048268C">
              <w:rPr>
                <w:sz w:val="20"/>
                <w:szCs w:val="20"/>
              </w:rPr>
              <w:t>%</w:t>
            </w:r>
          </w:p>
        </w:tc>
        <w:tc>
          <w:tcPr>
            <w:tcW w:w="1210" w:type="dxa"/>
            <w:shd w:val="clear" w:color="auto" w:fill="BFBFBF" w:themeFill="background1" w:themeFillShade="BF"/>
            <w:vAlign w:val="center"/>
          </w:tcPr>
          <w:p w14:paraId="44C3AAF6" w14:textId="3365C1D6" w:rsidR="00217144" w:rsidRPr="0048268C" w:rsidRDefault="00217144" w:rsidP="00217144">
            <w:pPr>
              <w:pStyle w:val="1-BodyText"/>
              <w:jc w:val="center"/>
              <w:rPr>
                <w:sz w:val="20"/>
                <w:szCs w:val="20"/>
              </w:rPr>
            </w:pPr>
            <w:r w:rsidRPr="00A34C46">
              <w:rPr>
                <w:color w:val="000000"/>
                <w:sz w:val="20"/>
                <w:szCs w:val="20"/>
              </w:rPr>
              <w:t>--</w:t>
            </w:r>
          </w:p>
        </w:tc>
        <w:tc>
          <w:tcPr>
            <w:tcW w:w="1210" w:type="dxa"/>
            <w:shd w:val="clear" w:color="auto" w:fill="BFBFBF" w:themeFill="background1" w:themeFillShade="BF"/>
            <w:vAlign w:val="center"/>
          </w:tcPr>
          <w:p w14:paraId="12C9A7C4" w14:textId="34701A55" w:rsidR="00217144" w:rsidRPr="0048268C" w:rsidRDefault="00217144" w:rsidP="00217144">
            <w:pPr>
              <w:pStyle w:val="1-BodyText"/>
              <w:jc w:val="center"/>
              <w:rPr>
                <w:sz w:val="20"/>
                <w:szCs w:val="20"/>
              </w:rPr>
            </w:pPr>
            <w:r w:rsidRPr="00A34C46">
              <w:rPr>
                <w:color w:val="000000"/>
                <w:sz w:val="20"/>
                <w:szCs w:val="20"/>
              </w:rPr>
              <w:t>--</w:t>
            </w:r>
          </w:p>
        </w:tc>
      </w:tr>
      <w:tr w:rsidR="00217144" w:rsidRPr="003F01CD" w14:paraId="0FEBDE33" w14:textId="77777777" w:rsidTr="00775A14">
        <w:trPr>
          <w:trHeight w:val="476"/>
          <w:jc w:val="center"/>
        </w:trPr>
        <w:tc>
          <w:tcPr>
            <w:tcW w:w="990" w:type="dxa"/>
            <w:vMerge/>
            <w:vAlign w:val="center"/>
          </w:tcPr>
          <w:p w14:paraId="39A68CFA" w14:textId="73FD579F" w:rsidR="00217144" w:rsidRPr="003F01CD" w:rsidRDefault="00217144" w:rsidP="00217144">
            <w:pPr>
              <w:pStyle w:val="1-BodyText"/>
              <w:rPr>
                <w:sz w:val="20"/>
                <w:szCs w:val="20"/>
              </w:rPr>
            </w:pPr>
          </w:p>
        </w:tc>
        <w:tc>
          <w:tcPr>
            <w:tcW w:w="1210" w:type="dxa"/>
            <w:vAlign w:val="center"/>
          </w:tcPr>
          <w:p w14:paraId="457B15CE" w14:textId="4E359708" w:rsidR="00217144" w:rsidRPr="0048268C" w:rsidRDefault="00217144" w:rsidP="00217144">
            <w:pPr>
              <w:pStyle w:val="1-BodyText"/>
              <w:jc w:val="center"/>
              <w:rPr>
                <w:color w:val="000000"/>
                <w:sz w:val="20"/>
                <w:szCs w:val="20"/>
              </w:rPr>
            </w:pPr>
            <w:r w:rsidRPr="0048268C">
              <w:rPr>
                <w:color w:val="000000"/>
                <w:sz w:val="20"/>
                <w:szCs w:val="20"/>
              </w:rPr>
              <w:t>First (12.6)</w:t>
            </w:r>
          </w:p>
        </w:tc>
        <w:tc>
          <w:tcPr>
            <w:tcW w:w="1210" w:type="dxa"/>
            <w:vAlign w:val="center"/>
          </w:tcPr>
          <w:p w14:paraId="1E006883" w14:textId="72328238" w:rsidR="00217144" w:rsidRPr="0048268C" w:rsidRDefault="00217144" w:rsidP="00217144">
            <w:pPr>
              <w:pStyle w:val="1-BodyText"/>
              <w:jc w:val="center"/>
              <w:rPr>
                <w:sz w:val="20"/>
                <w:szCs w:val="20"/>
              </w:rPr>
            </w:pPr>
            <w:r w:rsidRPr="0048268C">
              <w:rPr>
                <w:sz w:val="20"/>
                <w:szCs w:val="20"/>
              </w:rPr>
              <w:t>6.3%</w:t>
            </w:r>
          </w:p>
        </w:tc>
        <w:tc>
          <w:tcPr>
            <w:tcW w:w="1210" w:type="dxa"/>
            <w:vAlign w:val="center"/>
          </w:tcPr>
          <w:p w14:paraId="10B639EB" w14:textId="16BA83F3" w:rsidR="00217144" w:rsidRPr="0048268C" w:rsidRDefault="00217144" w:rsidP="00217144">
            <w:pPr>
              <w:pStyle w:val="1-BodyText"/>
              <w:jc w:val="center"/>
              <w:rPr>
                <w:color w:val="000000"/>
                <w:sz w:val="20"/>
                <w:szCs w:val="20"/>
              </w:rPr>
            </w:pPr>
            <w:r w:rsidRPr="0048268C">
              <w:rPr>
                <w:color w:val="000000"/>
                <w:sz w:val="20"/>
                <w:szCs w:val="20"/>
              </w:rPr>
              <w:t>29 (96.7%)</w:t>
            </w:r>
          </w:p>
        </w:tc>
        <w:tc>
          <w:tcPr>
            <w:tcW w:w="1210" w:type="dxa"/>
            <w:vAlign w:val="center"/>
          </w:tcPr>
          <w:p w14:paraId="39D8950F" w14:textId="0C64C072" w:rsidR="00217144" w:rsidRPr="0048268C" w:rsidRDefault="00217144" w:rsidP="00217144">
            <w:pPr>
              <w:pStyle w:val="1-BodyText"/>
              <w:jc w:val="center"/>
              <w:rPr>
                <w:color w:val="000000"/>
                <w:sz w:val="20"/>
                <w:szCs w:val="20"/>
              </w:rPr>
            </w:pPr>
            <w:r w:rsidRPr="0048268C">
              <w:rPr>
                <w:color w:val="000000"/>
                <w:sz w:val="20"/>
                <w:szCs w:val="20"/>
              </w:rPr>
              <w:t>23 (76.7%)</w:t>
            </w:r>
          </w:p>
        </w:tc>
        <w:tc>
          <w:tcPr>
            <w:tcW w:w="1210" w:type="dxa"/>
            <w:vAlign w:val="center"/>
          </w:tcPr>
          <w:p w14:paraId="44DB2C20" w14:textId="78705C3A" w:rsidR="00217144" w:rsidRPr="0048268C" w:rsidRDefault="00217144" w:rsidP="00217144">
            <w:pPr>
              <w:pStyle w:val="1-BodyText"/>
              <w:jc w:val="center"/>
              <w:rPr>
                <w:color w:val="000000"/>
                <w:sz w:val="20"/>
                <w:szCs w:val="20"/>
              </w:rPr>
            </w:pPr>
            <w:r w:rsidRPr="0048268C">
              <w:rPr>
                <w:color w:val="000000"/>
                <w:sz w:val="20"/>
                <w:szCs w:val="20"/>
              </w:rPr>
              <w:t>70.3</w:t>
            </w:r>
            <w:r>
              <w:rPr>
                <w:color w:val="000000"/>
                <w:sz w:val="20"/>
                <w:szCs w:val="20"/>
              </w:rPr>
              <w:t>%</w:t>
            </w:r>
            <w:r w:rsidRPr="005B7ED8">
              <w:rPr>
                <w:color w:val="000000"/>
                <w:sz w:val="20"/>
                <w:szCs w:val="20"/>
                <w:vertAlign w:val="superscript"/>
              </w:rPr>
              <w:t>a</w:t>
            </w:r>
          </w:p>
        </w:tc>
        <w:tc>
          <w:tcPr>
            <w:tcW w:w="1210" w:type="dxa"/>
            <w:vAlign w:val="center"/>
          </w:tcPr>
          <w:p w14:paraId="2738B300" w14:textId="3040B94D" w:rsidR="00217144" w:rsidRPr="0048268C" w:rsidRDefault="00217144" w:rsidP="00217144">
            <w:pPr>
              <w:pStyle w:val="1-BodyText"/>
              <w:jc w:val="center"/>
              <w:rPr>
                <w:sz w:val="20"/>
                <w:szCs w:val="20"/>
              </w:rPr>
            </w:pPr>
            <w:r>
              <w:rPr>
                <w:sz w:val="20"/>
                <w:szCs w:val="20"/>
              </w:rPr>
              <w:t>2.4</w:t>
            </w:r>
          </w:p>
        </w:tc>
        <w:tc>
          <w:tcPr>
            <w:tcW w:w="1210" w:type="dxa"/>
            <w:vAlign w:val="center"/>
          </w:tcPr>
          <w:p w14:paraId="4537C5A4" w14:textId="0C58D0C8" w:rsidR="00217144" w:rsidRPr="0048268C" w:rsidRDefault="00217144" w:rsidP="00217144">
            <w:pPr>
              <w:pStyle w:val="1-BodyText"/>
              <w:jc w:val="center"/>
              <w:rPr>
                <w:sz w:val="20"/>
                <w:szCs w:val="20"/>
              </w:rPr>
            </w:pPr>
            <w:r>
              <w:rPr>
                <w:sz w:val="20"/>
                <w:szCs w:val="20"/>
              </w:rPr>
              <w:t>50.0%</w:t>
            </w:r>
          </w:p>
        </w:tc>
        <w:tc>
          <w:tcPr>
            <w:tcW w:w="1210" w:type="dxa"/>
            <w:shd w:val="clear" w:color="auto" w:fill="BFBFBF" w:themeFill="background1" w:themeFillShade="BF"/>
            <w:vAlign w:val="center"/>
          </w:tcPr>
          <w:p w14:paraId="07A5F8BA" w14:textId="2E939737" w:rsidR="00217144" w:rsidRPr="0048268C" w:rsidRDefault="00217144" w:rsidP="00217144">
            <w:pPr>
              <w:pStyle w:val="1-BodyText"/>
              <w:jc w:val="center"/>
              <w:rPr>
                <w:sz w:val="20"/>
                <w:szCs w:val="20"/>
              </w:rPr>
            </w:pPr>
            <w:r w:rsidRPr="00A34C46">
              <w:rPr>
                <w:color w:val="000000"/>
                <w:sz w:val="20"/>
                <w:szCs w:val="20"/>
              </w:rPr>
              <w:t>--</w:t>
            </w:r>
          </w:p>
        </w:tc>
        <w:tc>
          <w:tcPr>
            <w:tcW w:w="1210" w:type="dxa"/>
            <w:shd w:val="clear" w:color="auto" w:fill="BFBFBF" w:themeFill="background1" w:themeFillShade="BF"/>
            <w:vAlign w:val="center"/>
          </w:tcPr>
          <w:p w14:paraId="0543AA60" w14:textId="2FC4A877" w:rsidR="00217144" w:rsidRPr="0048268C" w:rsidRDefault="00217144" w:rsidP="00217144">
            <w:pPr>
              <w:pStyle w:val="1-BodyText"/>
              <w:jc w:val="center"/>
              <w:rPr>
                <w:sz w:val="20"/>
                <w:szCs w:val="20"/>
              </w:rPr>
            </w:pPr>
            <w:r w:rsidRPr="00A34C46">
              <w:rPr>
                <w:color w:val="000000"/>
                <w:sz w:val="20"/>
                <w:szCs w:val="20"/>
              </w:rPr>
              <w:t>--</w:t>
            </w:r>
          </w:p>
        </w:tc>
      </w:tr>
      <w:tr w:rsidR="00217144" w:rsidRPr="003F01CD" w14:paraId="109002F5" w14:textId="2A8F8443" w:rsidTr="00775A14">
        <w:trPr>
          <w:trHeight w:val="440"/>
          <w:jc w:val="center"/>
        </w:trPr>
        <w:tc>
          <w:tcPr>
            <w:tcW w:w="990" w:type="dxa"/>
            <w:vMerge/>
          </w:tcPr>
          <w:p w14:paraId="6569928A" w14:textId="77777777" w:rsidR="00217144" w:rsidRPr="003F01CD" w:rsidRDefault="00217144" w:rsidP="00217144">
            <w:pPr>
              <w:pStyle w:val="1-BodyText"/>
              <w:rPr>
                <w:sz w:val="20"/>
                <w:szCs w:val="20"/>
              </w:rPr>
            </w:pPr>
          </w:p>
        </w:tc>
        <w:tc>
          <w:tcPr>
            <w:tcW w:w="1210" w:type="dxa"/>
            <w:vAlign w:val="center"/>
          </w:tcPr>
          <w:p w14:paraId="1E27AA40" w14:textId="5A3533DC" w:rsidR="00217144" w:rsidRPr="0048268C" w:rsidRDefault="00217144" w:rsidP="00217144">
            <w:pPr>
              <w:pStyle w:val="1-BodyText"/>
              <w:jc w:val="center"/>
              <w:rPr>
                <w:sz w:val="20"/>
                <w:szCs w:val="20"/>
              </w:rPr>
            </w:pPr>
            <w:r w:rsidRPr="0048268C">
              <w:rPr>
                <w:color w:val="000000"/>
                <w:sz w:val="20"/>
                <w:szCs w:val="20"/>
              </w:rPr>
              <w:t>Second</w:t>
            </w:r>
            <w:r>
              <w:rPr>
                <w:color w:val="000000"/>
                <w:sz w:val="20"/>
                <w:szCs w:val="20"/>
              </w:rPr>
              <w:t xml:space="preserve"> </w:t>
            </w:r>
            <w:r w:rsidRPr="0048268C">
              <w:rPr>
                <w:color w:val="000000"/>
                <w:sz w:val="20"/>
                <w:szCs w:val="20"/>
              </w:rPr>
              <w:t>(22.5)</w:t>
            </w:r>
          </w:p>
        </w:tc>
        <w:tc>
          <w:tcPr>
            <w:tcW w:w="1210" w:type="dxa"/>
            <w:vAlign w:val="center"/>
          </w:tcPr>
          <w:p w14:paraId="72BB2539" w14:textId="1D0E81A1" w:rsidR="00217144" w:rsidRPr="0048268C" w:rsidRDefault="00217144" w:rsidP="00217144">
            <w:pPr>
              <w:pStyle w:val="1-BodyText"/>
              <w:jc w:val="center"/>
              <w:rPr>
                <w:sz w:val="20"/>
                <w:szCs w:val="20"/>
              </w:rPr>
            </w:pPr>
            <w:r w:rsidRPr="0048268C">
              <w:rPr>
                <w:sz w:val="20"/>
                <w:szCs w:val="20"/>
              </w:rPr>
              <w:t>12.7%</w:t>
            </w:r>
          </w:p>
        </w:tc>
        <w:tc>
          <w:tcPr>
            <w:tcW w:w="1210" w:type="dxa"/>
            <w:vAlign w:val="center"/>
          </w:tcPr>
          <w:p w14:paraId="62B436AF" w14:textId="50A328CD" w:rsidR="00217144" w:rsidRPr="0048268C" w:rsidRDefault="00217144" w:rsidP="00217144">
            <w:pPr>
              <w:pStyle w:val="1-BodyText"/>
              <w:jc w:val="center"/>
              <w:rPr>
                <w:sz w:val="20"/>
                <w:szCs w:val="20"/>
              </w:rPr>
            </w:pPr>
            <w:r w:rsidRPr="0048268C">
              <w:rPr>
                <w:color w:val="000000"/>
                <w:sz w:val="20"/>
                <w:szCs w:val="20"/>
              </w:rPr>
              <w:t>23 (76.7%)</w:t>
            </w:r>
          </w:p>
        </w:tc>
        <w:tc>
          <w:tcPr>
            <w:tcW w:w="1210" w:type="dxa"/>
            <w:vAlign w:val="center"/>
          </w:tcPr>
          <w:p w14:paraId="253DEB3E" w14:textId="1E611CDD" w:rsidR="00217144" w:rsidRPr="0048268C" w:rsidRDefault="00217144" w:rsidP="00217144">
            <w:pPr>
              <w:pStyle w:val="1-BodyText"/>
              <w:jc w:val="center"/>
              <w:rPr>
                <w:sz w:val="20"/>
                <w:szCs w:val="20"/>
              </w:rPr>
            </w:pPr>
            <w:r w:rsidRPr="0048268C">
              <w:rPr>
                <w:color w:val="000000"/>
                <w:sz w:val="20"/>
                <w:szCs w:val="20"/>
              </w:rPr>
              <w:t>25 (83.3%)</w:t>
            </w:r>
          </w:p>
        </w:tc>
        <w:tc>
          <w:tcPr>
            <w:tcW w:w="1210" w:type="dxa"/>
            <w:tcBorders>
              <w:bottom w:val="single" w:sz="4" w:space="0" w:color="auto"/>
            </w:tcBorders>
            <w:vAlign w:val="center"/>
          </w:tcPr>
          <w:p w14:paraId="24E8C979" w14:textId="12D7B611" w:rsidR="00217144" w:rsidRPr="0048268C" w:rsidRDefault="00217144" w:rsidP="00217144">
            <w:pPr>
              <w:pStyle w:val="1-BodyText"/>
              <w:jc w:val="center"/>
              <w:rPr>
                <w:color w:val="000000"/>
                <w:sz w:val="20"/>
                <w:szCs w:val="20"/>
              </w:rPr>
            </w:pPr>
            <w:r w:rsidRPr="0048268C">
              <w:rPr>
                <w:color w:val="000000"/>
                <w:sz w:val="20"/>
                <w:szCs w:val="20"/>
              </w:rPr>
              <w:t>71.0</w:t>
            </w:r>
            <w:r>
              <w:rPr>
                <w:color w:val="000000"/>
                <w:sz w:val="20"/>
                <w:szCs w:val="20"/>
              </w:rPr>
              <w:t>%</w:t>
            </w:r>
            <w:r w:rsidRPr="005B7ED8">
              <w:rPr>
                <w:color w:val="000000"/>
                <w:sz w:val="20"/>
                <w:szCs w:val="20"/>
                <w:vertAlign w:val="superscript"/>
              </w:rPr>
              <w:t>a</w:t>
            </w:r>
          </w:p>
        </w:tc>
        <w:tc>
          <w:tcPr>
            <w:tcW w:w="1210" w:type="dxa"/>
            <w:tcBorders>
              <w:bottom w:val="single" w:sz="4" w:space="0" w:color="auto"/>
            </w:tcBorders>
            <w:vAlign w:val="center"/>
          </w:tcPr>
          <w:p w14:paraId="2B81A9AB" w14:textId="43B01A47" w:rsidR="00217144" w:rsidRPr="0048268C" w:rsidRDefault="00217144" w:rsidP="00217144">
            <w:pPr>
              <w:pStyle w:val="1-BodyText"/>
              <w:jc w:val="center"/>
              <w:rPr>
                <w:sz w:val="20"/>
                <w:szCs w:val="20"/>
              </w:rPr>
            </w:pPr>
            <w:r w:rsidRPr="0048268C">
              <w:rPr>
                <w:sz w:val="20"/>
                <w:szCs w:val="20"/>
              </w:rPr>
              <w:t>1.</w:t>
            </w:r>
            <w:r>
              <w:rPr>
                <w:sz w:val="20"/>
                <w:szCs w:val="20"/>
              </w:rPr>
              <w:t>5</w:t>
            </w:r>
          </w:p>
        </w:tc>
        <w:tc>
          <w:tcPr>
            <w:tcW w:w="1210" w:type="dxa"/>
            <w:tcBorders>
              <w:bottom w:val="single" w:sz="4" w:space="0" w:color="auto"/>
            </w:tcBorders>
            <w:vAlign w:val="center"/>
          </w:tcPr>
          <w:p w14:paraId="72AB78A1" w14:textId="5A58F75F" w:rsidR="00217144" w:rsidRPr="0048268C" w:rsidRDefault="00217144" w:rsidP="00217144">
            <w:pPr>
              <w:pStyle w:val="1-BodyText"/>
              <w:jc w:val="center"/>
              <w:rPr>
                <w:sz w:val="20"/>
                <w:szCs w:val="20"/>
              </w:rPr>
            </w:pPr>
            <w:r>
              <w:rPr>
                <w:sz w:val="20"/>
                <w:szCs w:val="20"/>
              </w:rPr>
              <w:t>68.8</w:t>
            </w:r>
            <w:r w:rsidRPr="0048268C">
              <w:rPr>
                <w:sz w:val="20"/>
                <w:szCs w:val="20"/>
              </w:rPr>
              <w:t>%</w:t>
            </w:r>
          </w:p>
        </w:tc>
        <w:tc>
          <w:tcPr>
            <w:tcW w:w="1210" w:type="dxa"/>
            <w:tcBorders>
              <w:bottom w:val="single" w:sz="4" w:space="0" w:color="auto"/>
            </w:tcBorders>
            <w:shd w:val="clear" w:color="auto" w:fill="BFBFBF" w:themeFill="background1" w:themeFillShade="BF"/>
            <w:vAlign w:val="center"/>
          </w:tcPr>
          <w:p w14:paraId="57BE826D" w14:textId="5E3B8E7F" w:rsidR="00217144" w:rsidRPr="0048268C" w:rsidRDefault="00217144" w:rsidP="00217144">
            <w:pPr>
              <w:pStyle w:val="1-BodyText"/>
              <w:jc w:val="center"/>
              <w:rPr>
                <w:sz w:val="20"/>
                <w:szCs w:val="20"/>
              </w:rPr>
            </w:pPr>
            <w:r w:rsidRPr="00A34C46">
              <w:rPr>
                <w:color w:val="000000"/>
                <w:sz w:val="20"/>
                <w:szCs w:val="20"/>
              </w:rPr>
              <w:t>--</w:t>
            </w:r>
          </w:p>
        </w:tc>
        <w:tc>
          <w:tcPr>
            <w:tcW w:w="1210" w:type="dxa"/>
            <w:tcBorders>
              <w:bottom w:val="single" w:sz="4" w:space="0" w:color="auto"/>
            </w:tcBorders>
            <w:shd w:val="clear" w:color="auto" w:fill="BFBFBF" w:themeFill="background1" w:themeFillShade="BF"/>
            <w:vAlign w:val="center"/>
          </w:tcPr>
          <w:p w14:paraId="5ED1BBB4" w14:textId="3833F998" w:rsidR="00217144" w:rsidRPr="0048268C" w:rsidRDefault="00217144" w:rsidP="00217144">
            <w:pPr>
              <w:pStyle w:val="1-BodyText"/>
              <w:jc w:val="center"/>
              <w:rPr>
                <w:sz w:val="20"/>
                <w:szCs w:val="20"/>
              </w:rPr>
            </w:pPr>
            <w:r w:rsidRPr="00A34C46">
              <w:rPr>
                <w:color w:val="000000"/>
                <w:sz w:val="20"/>
                <w:szCs w:val="20"/>
              </w:rPr>
              <w:t>--</w:t>
            </w:r>
          </w:p>
        </w:tc>
      </w:tr>
      <w:tr w:rsidR="00217144" w:rsidRPr="003F01CD" w14:paraId="35809667" w14:textId="77777777" w:rsidTr="00775A14">
        <w:trPr>
          <w:trHeight w:val="521"/>
          <w:jc w:val="center"/>
        </w:trPr>
        <w:tc>
          <w:tcPr>
            <w:tcW w:w="990" w:type="dxa"/>
            <w:vMerge/>
          </w:tcPr>
          <w:p w14:paraId="7C401E56" w14:textId="77777777" w:rsidR="00217144" w:rsidRPr="003F01CD" w:rsidRDefault="00217144" w:rsidP="00217144">
            <w:pPr>
              <w:pStyle w:val="1-BodyText"/>
              <w:rPr>
                <w:sz w:val="20"/>
                <w:szCs w:val="20"/>
              </w:rPr>
            </w:pPr>
          </w:p>
        </w:tc>
        <w:tc>
          <w:tcPr>
            <w:tcW w:w="1210" w:type="dxa"/>
            <w:vAlign w:val="center"/>
          </w:tcPr>
          <w:p w14:paraId="42D8C300" w14:textId="154F0A52" w:rsidR="00217144" w:rsidRPr="0048268C" w:rsidRDefault="00217144" w:rsidP="00217144">
            <w:pPr>
              <w:pStyle w:val="1-BodyText"/>
              <w:jc w:val="center"/>
              <w:rPr>
                <w:color w:val="000000"/>
                <w:sz w:val="20"/>
                <w:szCs w:val="20"/>
              </w:rPr>
            </w:pPr>
            <w:r w:rsidRPr="0048268C">
              <w:rPr>
                <w:color w:val="000000"/>
                <w:sz w:val="20"/>
                <w:szCs w:val="20"/>
              </w:rPr>
              <w:t>Third (32.5)</w:t>
            </w:r>
          </w:p>
        </w:tc>
        <w:tc>
          <w:tcPr>
            <w:tcW w:w="1210" w:type="dxa"/>
            <w:tcBorders>
              <w:bottom w:val="single" w:sz="4" w:space="0" w:color="auto"/>
            </w:tcBorders>
            <w:vAlign w:val="center"/>
          </w:tcPr>
          <w:p w14:paraId="10BDB749" w14:textId="508FD1C8" w:rsidR="00217144" w:rsidRPr="0048268C" w:rsidRDefault="00217144" w:rsidP="00217144">
            <w:pPr>
              <w:pStyle w:val="1-BodyText"/>
              <w:jc w:val="center"/>
              <w:rPr>
                <w:color w:val="000000"/>
                <w:sz w:val="20"/>
                <w:szCs w:val="20"/>
              </w:rPr>
            </w:pPr>
            <w:r w:rsidRPr="0048268C">
              <w:rPr>
                <w:color w:val="000000"/>
                <w:sz w:val="20"/>
                <w:szCs w:val="20"/>
              </w:rPr>
              <w:t>31.5%</w:t>
            </w:r>
          </w:p>
        </w:tc>
        <w:tc>
          <w:tcPr>
            <w:tcW w:w="1210" w:type="dxa"/>
            <w:tcBorders>
              <w:bottom w:val="single" w:sz="4" w:space="0" w:color="auto"/>
            </w:tcBorders>
            <w:vAlign w:val="center"/>
          </w:tcPr>
          <w:p w14:paraId="592D2EA7" w14:textId="32205DA2" w:rsidR="00217144" w:rsidRPr="0048268C" w:rsidRDefault="00217144" w:rsidP="00217144">
            <w:pPr>
              <w:pStyle w:val="1-BodyText"/>
              <w:jc w:val="center"/>
              <w:rPr>
                <w:color w:val="000000"/>
                <w:sz w:val="20"/>
                <w:szCs w:val="20"/>
              </w:rPr>
            </w:pPr>
            <w:r w:rsidRPr="0048268C">
              <w:rPr>
                <w:color w:val="000000"/>
                <w:sz w:val="20"/>
                <w:szCs w:val="20"/>
              </w:rPr>
              <w:t>23 (76.7%)</w:t>
            </w:r>
          </w:p>
        </w:tc>
        <w:tc>
          <w:tcPr>
            <w:tcW w:w="1210" w:type="dxa"/>
            <w:tcBorders>
              <w:bottom w:val="single" w:sz="4" w:space="0" w:color="auto"/>
            </w:tcBorders>
            <w:vAlign w:val="center"/>
          </w:tcPr>
          <w:p w14:paraId="3563B348" w14:textId="4CB57562" w:rsidR="00217144" w:rsidRPr="0048268C" w:rsidRDefault="00217144" w:rsidP="00217144">
            <w:pPr>
              <w:pStyle w:val="1-BodyText"/>
              <w:jc w:val="center"/>
              <w:rPr>
                <w:color w:val="000000"/>
                <w:sz w:val="20"/>
                <w:szCs w:val="20"/>
              </w:rPr>
            </w:pPr>
            <w:r w:rsidRPr="0048268C">
              <w:rPr>
                <w:color w:val="000000"/>
                <w:sz w:val="20"/>
                <w:szCs w:val="20"/>
              </w:rPr>
              <w:t>21 (70.0%)</w:t>
            </w:r>
          </w:p>
        </w:tc>
        <w:tc>
          <w:tcPr>
            <w:tcW w:w="1210" w:type="dxa"/>
            <w:tcBorders>
              <w:bottom w:val="single" w:sz="4" w:space="0" w:color="auto"/>
              <w:right w:val="single" w:sz="4" w:space="0" w:color="auto"/>
            </w:tcBorders>
            <w:vAlign w:val="center"/>
          </w:tcPr>
          <w:p w14:paraId="4CE1993D" w14:textId="127E944E" w:rsidR="00217144" w:rsidRPr="0048268C" w:rsidRDefault="001C4E64" w:rsidP="00217144">
            <w:pPr>
              <w:pStyle w:val="1-BodyText"/>
              <w:jc w:val="center"/>
              <w:rPr>
                <w:color w:val="000000"/>
                <w:sz w:val="20"/>
                <w:szCs w:val="20"/>
              </w:rPr>
            </w:pPr>
            <w:r>
              <w:rPr>
                <w:color w:val="000000"/>
                <w:sz w:val="20"/>
                <w:szCs w:val="20"/>
              </w:rPr>
              <w:t>55.3%</w:t>
            </w:r>
            <w:r w:rsidRPr="005B7ED8">
              <w:rPr>
                <w:color w:val="000000"/>
                <w:sz w:val="20"/>
                <w:szCs w:val="20"/>
                <w:vertAlign w:val="superscript"/>
              </w:rPr>
              <w:t>a</w:t>
            </w:r>
          </w:p>
        </w:tc>
        <w:tc>
          <w:tcPr>
            <w:tcW w:w="1210" w:type="dxa"/>
            <w:tcBorders>
              <w:left w:val="single" w:sz="4" w:space="0" w:color="auto"/>
              <w:bottom w:val="single" w:sz="4" w:space="0" w:color="auto"/>
              <w:right w:val="single" w:sz="4" w:space="0" w:color="auto"/>
            </w:tcBorders>
            <w:vAlign w:val="center"/>
          </w:tcPr>
          <w:p w14:paraId="05C088F6" w14:textId="14552F2E" w:rsidR="00217144" w:rsidRPr="0048268C" w:rsidRDefault="001C4E64" w:rsidP="00217144">
            <w:pPr>
              <w:pStyle w:val="1-BodyText"/>
              <w:jc w:val="center"/>
              <w:rPr>
                <w:color w:val="000000"/>
                <w:sz w:val="20"/>
                <w:szCs w:val="20"/>
              </w:rPr>
            </w:pPr>
            <w:r>
              <w:rPr>
                <w:color w:val="000000"/>
                <w:sz w:val="20"/>
                <w:szCs w:val="20"/>
              </w:rPr>
              <w:t>1.0</w:t>
            </w:r>
          </w:p>
        </w:tc>
        <w:tc>
          <w:tcPr>
            <w:tcW w:w="1210" w:type="dxa"/>
            <w:tcBorders>
              <w:left w:val="single" w:sz="4" w:space="0" w:color="auto"/>
              <w:bottom w:val="single" w:sz="4" w:space="0" w:color="auto"/>
              <w:right w:val="single" w:sz="4" w:space="0" w:color="auto"/>
            </w:tcBorders>
            <w:vAlign w:val="center"/>
          </w:tcPr>
          <w:p w14:paraId="46530A00" w14:textId="17974B92" w:rsidR="00217144" w:rsidRPr="0048268C" w:rsidRDefault="001C4E64" w:rsidP="00217144">
            <w:pPr>
              <w:pStyle w:val="1-BodyText"/>
              <w:jc w:val="center"/>
              <w:rPr>
                <w:color w:val="000000"/>
                <w:sz w:val="20"/>
                <w:szCs w:val="20"/>
              </w:rPr>
            </w:pPr>
            <w:r>
              <w:rPr>
                <w:color w:val="000000"/>
                <w:sz w:val="20"/>
                <w:szCs w:val="20"/>
              </w:rPr>
              <w:t>79.2%</w:t>
            </w:r>
          </w:p>
        </w:tc>
        <w:tc>
          <w:tcPr>
            <w:tcW w:w="1210" w:type="dxa"/>
            <w:tcBorders>
              <w:left w:val="single" w:sz="4" w:space="0" w:color="auto"/>
              <w:bottom w:val="single" w:sz="4" w:space="0" w:color="auto"/>
              <w:right w:val="single" w:sz="4" w:space="0" w:color="auto"/>
            </w:tcBorders>
            <w:shd w:val="clear" w:color="auto" w:fill="BFBFBF" w:themeFill="background1" w:themeFillShade="BF"/>
            <w:vAlign w:val="center"/>
          </w:tcPr>
          <w:p w14:paraId="7AB38A86" w14:textId="1D4B3CFA" w:rsidR="00217144" w:rsidRPr="0048268C" w:rsidRDefault="00217144" w:rsidP="00217144">
            <w:pPr>
              <w:pStyle w:val="1-BodyText"/>
              <w:jc w:val="center"/>
              <w:rPr>
                <w:color w:val="000000"/>
                <w:sz w:val="20"/>
                <w:szCs w:val="20"/>
              </w:rPr>
            </w:pPr>
            <w:r w:rsidRPr="00A34C46">
              <w:rPr>
                <w:color w:val="000000"/>
                <w:sz w:val="20"/>
                <w:szCs w:val="20"/>
              </w:rPr>
              <w:t>--</w:t>
            </w:r>
          </w:p>
        </w:tc>
        <w:tc>
          <w:tcPr>
            <w:tcW w:w="1210" w:type="dxa"/>
            <w:tcBorders>
              <w:left w:val="single" w:sz="4" w:space="0" w:color="auto"/>
              <w:bottom w:val="single" w:sz="4" w:space="0" w:color="auto"/>
              <w:right w:val="nil"/>
            </w:tcBorders>
            <w:shd w:val="clear" w:color="auto" w:fill="BFBFBF" w:themeFill="background1" w:themeFillShade="BF"/>
            <w:vAlign w:val="center"/>
          </w:tcPr>
          <w:p w14:paraId="54D61F6E" w14:textId="3B6CBC46" w:rsidR="00217144" w:rsidRPr="0048268C" w:rsidRDefault="00217144" w:rsidP="00217144">
            <w:pPr>
              <w:pStyle w:val="1-BodyText"/>
              <w:jc w:val="center"/>
              <w:rPr>
                <w:color w:val="000000"/>
                <w:sz w:val="20"/>
                <w:szCs w:val="20"/>
              </w:rPr>
            </w:pPr>
            <w:r w:rsidRPr="00A34C46">
              <w:rPr>
                <w:color w:val="000000"/>
                <w:sz w:val="20"/>
                <w:szCs w:val="20"/>
              </w:rPr>
              <w:t>--</w:t>
            </w:r>
          </w:p>
        </w:tc>
      </w:tr>
      <w:tr w:rsidR="00217144" w:rsidRPr="003F01CD" w14:paraId="6C35C9B2" w14:textId="11CD5773" w:rsidTr="00775A14">
        <w:trPr>
          <w:trHeight w:val="521"/>
          <w:jc w:val="center"/>
        </w:trPr>
        <w:tc>
          <w:tcPr>
            <w:tcW w:w="990" w:type="dxa"/>
            <w:vMerge w:val="restart"/>
            <w:vAlign w:val="center"/>
          </w:tcPr>
          <w:p w14:paraId="2187C593" w14:textId="77777777" w:rsidR="00217144" w:rsidRPr="003F01CD" w:rsidRDefault="00217144" w:rsidP="00217144">
            <w:pPr>
              <w:pStyle w:val="1-BodyText"/>
              <w:rPr>
                <w:sz w:val="20"/>
                <w:szCs w:val="20"/>
              </w:rPr>
            </w:pPr>
            <w:r w:rsidRPr="003F01CD">
              <w:rPr>
                <w:sz w:val="20"/>
                <w:szCs w:val="20"/>
              </w:rPr>
              <w:t xml:space="preserve">Pitoa </w:t>
            </w:r>
          </w:p>
          <w:p w14:paraId="50CF10FF" w14:textId="70B363DA" w:rsidR="00217144" w:rsidRPr="003F01CD" w:rsidRDefault="00217144" w:rsidP="00217144">
            <w:pPr>
              <w:pStyle w:val="1-BodyText"/>
              <w:rPr>
                <w:sz w:val="20"/>
                <w:szCs w:val="20"/>
              </w:rPr>
            </w:pPr>
            <w:r w:rsidRPr="003F01CD">
              <w:rPr>
                <w:sz w:val="20"/>
                <w:szCs w:val="20"/>
              </w:rPr>
              <w:t>(</w:t>
            </w:r>
            <w:proofErr w:type="spellStart"/>
            <w:r w:rsidRPr="003F01CD">
              <w:rPr>
                <w:sz w:val="20"/>
                <w:szCs w:val="20"/>
              </w:rPr>
              <w:t>DuraNet</w:t>
            </w:r>
            <w:proofErr w:type="spellEnd"/>
            <w:r w:rsidRPr="003F01CD">
              <w:rPr>
                <w:sz w:val="20"/>
                <w:szCs w:val="20"/>
              </w:rPr>
              <w:t>® Plus)</w:t>
            </w:r>
          </w:p>
        </w:tc>
        <w:tc>
          <w:tcPr>
            <w:tcW w:w="1210" w:type="dxa"/>
            <w:tcBorders>
              <w:bottom w:val="single" w:sz="6" w:space="0" w:color="000000"/>
            </w:tcBorders>
            <w:vAlign w:val="center"/>
          </w:tcPr>
          <w:p w14:paraId="32CBE69F" w14:textId="42BD9D27" w:rsidR="00217144" w:rsidRPr="0048268C" w:rsidRDefault="00217144" w:rsidP="00217144">
            <w:pPr>
              <w:pStyle w:val="1-BodyText"/>
              <w:jc w:val="center"/>
              <w:rPr>
                <w:sz w:val="20"/>
                <w:szCs w:val="20"/>
              </w:rPr>
            </w:pPr>
            <w:r w:rsidRPr="0048268C">
              <w:rPr>
                <w:color w:val="000000"/>
                <w:sz w:val="20"/>
                <w:szCs w:val="20"/>
              </w:rPr>
              <w:t>Pre-</w:t>
            </w:r>
            <w:proofErr w:type="spellStart"/>
            <w:r w:rsidRPr="0048268C">
              <w:rPr>
                <w:color w:val="000000"/>
                <w:sz w:val="20"/>
                <w:szCs w:val="20"/>
              </w:rPr>
              <w:t>dist</w:t>
            </w:r>
            <w:proofErr w:type="spellEnd"/>
          </w:p>
        </w:tc>
        <w:tc>
          <w:tcPr>
            <w:tcW w:w="1210" w:type="dxa"/>
            <w:tcBorders>
              <w:bottom w:val="single" w:sz="4" w:space="0" w:color="auto"/>
            </w:tcBorders>
            <w:shd w:val="clear" w:color="auto" w:fill="BFBFBF" w:themeFill="background1" w:themeFillShade="BF"/>
            <w:vAlign w:val="center"/>
          </w:tcPr>
          <w:p w14:paraId="535B2F63" w14:textId="29357634" w:rsidR="00217144" w:rsidRPr="0048268C" w:rsidRDefault="00217144" w:rsidP="00217144">
            <w:pPr>
              <w:pStyle w:val="1-BodyText"/>
              <w:jc w:val="center"/>
              <w:rPr>
                <w:sz w:val="20"/>
                <w:szCs w:val="20"/>
              </w:rPr>
            </w:pPr>
            <w:r w:rsidRPr="0048268C">
              <w:rPr>
                <w:color w:val="000000"/>
                <w:sz w:val="20"/>
                <w:szCs w:val="20"/>
              </w:rPr>
              <w:t>--</w:t>
            </w:r>
          </w:p>
        </w:tc>
        <w:tc>
          <w:tcPr>
            <w:tcW w:w="1210" w:type="dxa"/>
            <w:tcBorders>
              <w:bottom w:val="single" w:sz="4" w:space="0" w:color="auto"/>
            </w:tcBorders>
            <w:shd w:val="clear" w:color="auto" w:fill="BFBFBF" w:themeFill="background1" w:themeFillShade="BF"/>
            <w:vAlign w:val="center"/>
          </w:tcPr>
          <w:p w14:paraId="32E7DA31" w14:textId="5D68E501" w:rsidR="00217144" w:rsidRPr="0048268C" w:rsidRDefault="00217144" w:rsidP="00217144">
            <w:pPr>
              <w:pStyle w:val="1-BodyText"/>
              <w:jc w:val="center"/>
              <w:rPr>
                <w:sz w:val="20"/>
                <w:szCs w:val="20"/>
              </w:rPr>
            </w:pPr>
            <w:r w:rsidRPr="0048268C">
              <w:rPr>
                <w:color w:val="000000"/>
                <w:sz w:val="20"/>
                <w:szCs w:val="20"/>
              </w:rPr>
              <w:t>--</w:t>
            </w:r>
          </w:p>
        </w:tc>
        <w:tc>
          <w:tcPr>
            <w:tcW w:w="1210" w:type="dxa"/>
            <w:tcBorders>
              <w:bottom w:val="single" w:sz="4" w:space="0" w:color="auto"/>
            </w:tcBorders>
            <w:shd w:val="clear" w:color="auto" w:fill="BFBFBF" w:themeFill="background1" w:themeFillShade="BF"/>
            <w:vAlign w:val="center"/>
          </w:tcPr>
          <w:p w14:paraId="28E30D6E" w14:textId="00CFF9D8" w:rsidR="00217144" w:rsidRPr="0048268C" w:rsidRDefault="00217144" w:rsidP="00217144">
            <w:pPr>
              <w:pStyle w:val="1-BodyText"/>
              <w:jc w:val="center"/>
              <w:rPr>
                <w:sz w:val="20"/>
                <w:szCs w:val="20"/>
              </w:rPr>
            </w:pPr>
            <w:r w:rsidRPr="0048268C">
              <w:rPr>
                <w:color w:val="000000"/>
                <w:sz w:val="20"/>
                <w:szCs w:val="20"/>
              </w:rPr>
              <w:t>--</w:t>
            </w:r>
          </w:p>
        </w:tc>
        <w:tc>
          <w:tcPr>
            <w:tcW w:w="1210" w:type="dxa"/>
            <w:tcBorders>
              <w:top w:val="single" w:sz="4" w:space="0" w:color="auto"/>
              <w:bottom w:val="single" w:sz="4" w:space="0" w:color="auto"/>
              <w:right w:val="single" w:sz="4" w:space="0" w:color="auto"/>
            </w:tcBorders>
            <w:vAlign w:val="center"/>
          </w:tcPr>
          <w:p w14:paraId="364951CC" w14:textId="70C318AC" w:rsidR="00217144" w:rsidRPr="0048268C" w:rsidRDefault="00217144" w:rsidP="00217144">
            <w:pPr>
              <w:pStyle w:val="1-BodyText"/>
              <w:jc w:val="center"/>
              <w:rPr>
                <w:color w:val="000000"/>
                <w:sz w:val="20"/>
                <w:szCs w:val="20"/>
              </w:rPr>
            </w:pPr>
            <w:r>
              <w:rPr>
                <w:color w:val="000000"/>
                <w:sz w:val="20"/>
                <w:szCs w:val="20"/>
              </w:rPr>
              <w:t>26.7</w:t>
            </w:r>
            <w:r w:rsidRPr="0048268C">
              <w:rPr>
                <w:color w:val="000000"/>
                <w:sz w:val="20"/>
                <w:szCs w:val="20"/>
              </w:rPr>
              <w:t>%</w:t>
            </w:r>
            <w:r w:rsidRPr="003D55E2">
              <w:rPr>
                <w:color w:val="000000"/>
                <w:sz w:val="20"/>
                <w:szCs w:val="20"/>
                <w:vertAlign w:val="superscript"/>
              </w:rPr>
              <w:t>b</w:t>
            </w:r>
          </w:p>
        </w:tc>
        <w:tc>
          <w:tcPr>
            <w:tcW w:w="12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3C44B6" w14:textId="24A14F9F" w:rsidR="00217144" w:rsidRPr="0048268C" w:rsidRDefault="00217144" w:rsidP="00217144">
            <w:pPr>
              <w:pStyle w:val="1-BodyText"/>
              <w:jc w:val="center"/>
              <w:rPr>
                <w:sz w:val="20"/>
                <w:szCs w:val="20"/>
              </w:rPr>
            </w:pPr>
            <w:r w:rsidRPr="00C877A0">
              <w:rPr>
                <w:color w:val="000000"/>
                <w:sz w:val="20"/>
                <w:szCs w:val="20"/>
              </w:rPr>
              <w:t>--</w:t>
            </w:r>
          </w:p>
        </w:tc>
        <w:tc>
          <w:tcPr>
            <w:tcW w:w="12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6BA5CF" w14:textId="3F197069" w:rsidR="00217144" w:rsidRPr="0048268C" w:rsidRDefault="00217144" w:rsidP="00217144">
            <w:pPr>
              <w:pStyle w:val="1-BodyText"/>
              <w:jc w:val="center"/>
              <w:rPr>
                <w:sz w:val="20"/>
                <w:szCs w:val="20"/>
              </w:rPr>
            </w:pPr>
            <w:r w:rsidRPr="00C877A0">
              <w:rPr>
                <w:color w:val="000000"/>
                <w:sz w:val="20"/>
                <w:szCs w:val="20"/>
              </w:rPr>
              <w:t>--</w:t>
            </w:r>
          </w:p>
        </w:tc>
        <w:tc>
          <w:tcPr>
            <w:tcW w:w="1210" w:type="dxa"/>
            <w:tcBorders>
              <w:top w:val="single" w:sz="4" w:space="0" w:color="auto"/>
              <w:left w:val="single" w:sz="4" w:space="0" w:color="auto"/>
              <w:bottom w:val="single" w:sz="4" w:space="0" w:color="auto"/>
              <w:right w:val="single" w:sz="4" w:space="0" w:color="auto"/>
            </w:tcBorders>
            <w:vAlign w:val="center"/>
          </w:tcPr>
          <w:p w14:paraId="76F3D085" w14:textId="4CCE7327" w:rsidR="00217144" w:rsidRPr="0048268C" w:rsidRDefault="00217144" w:rsidP="00217144">
            <w:pPr>
              <w:pStyle w:val="1-BodyText"/>
              <w:jc w:val="center"/>
              <w:rPr>
                <w:sz w:val="20"/>
                <w:szCs w:val="20"/>
              </w:rPr>
            </w:pPr>
            <w:r>
              <w:rPr>
                <w:sz w:val="20"/>
                <w:szCs w:val="20"/>
              </w:rPr>
              <w:t>2.0</w:t>
            </w:r>
          </w:p>
        </w:tc>
        <w:tc>
          <w:tcPr>
            <w:tcW w:w="1210" w:type="dxa"/>
            <w:tcBorders>
              <w:top w:val="single" w:sz="4" w:space="0" w:color="auto"/>
              <w:left w:val="single" w:sz="4" w:space="0" w:color="auto"/>
              <w:bottom w:val="single" w:sz="4" w:space="0" w:color="auto"/>
              <w:right w:val="nil"/>
            </w:tcBorders>
            <w:vAlign w:val="center"/>
          </w:tcPr>
          <w:p w14:paraId="0DA09E0A" w14:textId="34DEA2FA" w:rsidR="00217144" w:rsidRPr="0048268C" w:rsidRDefault="00217144" w:rsidP="00217144">
            <w:pPr>
              <w:pStyle w:val="1-BodyText"/>
              <w:jc w:val="center"/>
              <w:rPr>
                <w:sz w:val="20"/>
                <w:szCs w:val="20"/>
              </w:rPr>
            </w:pPr>
            <w:r>
              <w:rPr>
                <w:sz w:val="20"/>
                <w:szCs w:val="20"/>
              </w:rPr>
              <w:t>9.1%</w:t>
            </w:r>
          </w:p>
        </w:tc>
      </w:tr>
      <w:tr w:rsidR="00217144" w:rsidRPr="003F01CD" w14:paraId="4DF4387C" w14:textId="77777777" w:rsidTr="00775A14">
        <w:trPr>
          <w:trHeight w:val="521"/>
          <w:jc w:val="center"/>
        </w:trPr>
        <w:tc>
          <w:tcPr>
            <w:tcW w:w="990" w:type="dxa"/>
            <w:vMerge/>
            <w:vAlign w:val="center"/>
          </w:tcPr>
          <w:p w14:paraId="1816386F" w14:textId="77777777" w:rsidR="00217144" w:rsidRPr="003F01CD" w:rsidRDefault="00217144" w:rsidP="00217144">
            <w:pPr>
              <w:pStyle w:val="1-BodyText"/>
              <w:rPr>
                <w:sz w:val="20"/>
                <w:szCs w:val="20"/>
              </w:rPr>
            </w:pPr>
          </w:p>
        </w:tc>
        <w:tc>
          <w:tcPr>
            <w:tcW w:w="1210" w:type="dxa"/>
            <w:tcBorders>
              <w:bottom w:val="single" w:sz="6" w:space="0" w:color="000000"/>
            </w:tcBorders>
            <w:vAlign w:val="center"/>
          </w:tcPr>
          <w:p w14:paraId="277FA842" w14:textId="4A7225A1" w:rsidR="00217144" w:rsidRPr="0048268C" w:rsidRDefault="00217144" w:rsidP="00217144">
            <w:pPr>
              <w:pStyle w:val="1-BodyText"/>
              <w:jc w:val="center"/>
              <w:rPr>
                <w:color w:val="000000"/>
                <w:sz w:val="20"/>
                <w:szCs w:val="20"/>
              </w:rPr>
            </w:pPr>
            <w:r w:rsidRPr="0048268C">
              <w:rPr>
                <w:color w:val="000000"/>
                <w:sz w:val="20"/>
                <w:szCs w:val="20"/>
              </w:rPr>
              <w:t>First (15.8)</w:t>
            </w:r>
          </w:p>
        </w:tc>
        <w:tc>
          <w:tcPr>
            <w:tcW w:w="1210" w:type="dxa"/>
            <w:tcBorders>
              <w:top w:val="single" w:sz="4" w:space="0" w:color="auto"/>
              <w:bottom w:val="single" w:sz="6" w:space="0" w:color="000000"/>
            </w:tcBorders>
            <w:vAlign w:val="center"/>
          </w:tcPr>
          <w:p w14:paraId="6766ACB6" w14:textId="181A5D3E" w:rsidR="00217144" w:rsidRPr="0048268C" w:rsidRDefault="00217144" w:rsidP="00217144">
            <w:pPr>
              <w:pStyle w:val="1-BodyText"/>
              <w:jc w:val="center"/>
              <w:rPr>
                <w:sz w:val="20"/>
                <w:szCs w:val="20"/>
              </w:rPr>
            </w:pPr>
            <w:r w:rsidRPr="0048268C">
              <w:rPr>
                <w:sz w:val="20"/>
                <w:szCs w:val="20"/>
              </w:rPr>
              <w:t>1.3%</w:t>
            </w:r>
          </w:p>
        </w:tc>
        <w:tc>
          <w:tcPr>
            <w:tcW w:w="1210" w:type="dxa"/>
            <w:tcBorders>
              <w:top w:val="single" w:sz="4" w:space="0" w:color="auto"/>
              <w:bottom w:val="single" w:sz="6" w:space="0" w:color="000000"/>
            </w:tcBorders>
            <w:vAlign w:val="center"/>
          </w:tcPr>
          <w:p w14:paraId="68FCBFEB" w14:textId="4677DF80" w:rsidR="00217144" w:rsidRPr="0048268C" w:rsidRDefault="00217144" w:rsidP="00217144">
            <w:pPr>
              <w:pStyle w:val="1-BodyText"/>
              <w:jc w:val="center"/>
              <w:rPr>
                <w:color w:val="000000"/>
                <w:sz w:val="20"/>
                <w:szCs w:val="20"/>
              </w:rPr>
            </w:pPr>
            <w:r w:rsidRPr="0048268C">
              <w:rPr>
                <w:color w:val="000000"/>
                <w:sz w:val="20"/>
                <w:szCs w:val="20"/>
              </w:rPr>
              <w:t>26 (86.7%)</w:t>
            </w:r>
          </w:p>
        </w:tc>
        <w:tc>
          <w:tcPr>
            <w:tcW w:w="1210" w:type="dxa"/>
            <w:tcBorders>
              <w:top w:val="single" w:sz="4" w:space="0" w:color="auto"/>
              <w:bottom w:val="single" w:sz="6" w:space="0" w:color="000000"/>
            </w:tcBorders>
            <w:vAlign w:val="center"/>
          </w:tcPr>
          <w:p w14:paraId="435B9999" w14:textId="7FC61261" w:rsidR="00217144" w:rsidRPr="0048268C" w:rsidRDefault="00217144" w:rsidP="00217144">
            <w:pPr>
              <w:pStyle w:val="1-BodyText"/>
              <w:jc w:val="center"/>
              <w:rPr>
                <w:color w:val="000000"/>
                <w:sz w:val="20"/>
                <w:szCs w:val="20"/>
              </w:rPr>
            </w:pPr>
            <w:r w:rsidRPr="0048268C">
              <w:rPr>
                <w:color w:val="000000"/>
                <w:sz w:val="20"/>
                <w:szCs w:val="20"/>
              </w:rPr>
              <w:t>29 (96.6%)</w:t>
            </w:r>
          </w:p>
        </w:tc>
        <w:tc>
          <w:tcPr>
            <w:tcW w:w="1210" w:type="dxa"/>
            <w:tcBorders>
              <w:top w:val="single" w:sz="4" w:space="0" w:color="auto"/>
              <w:bottom w:val="single" w:sz="4" w:space="0" w:color="auto"/>
              <w:right w:val="single" w:sz="4" w:space="0" w:color="auto"/>
            </w:tcBorders>
            <w:vAlign w:val="center"/>
          </w:tcPr>
          <w:p w14:paraId="2C206CC2" w14:textId="0B3F1522" w:rsidR="00217144" w:rsidRPr="0048268C" w:rsidRDefault="00217144" w:rsidP="00217144">
            <w:pPr>
              <w:pStyle w:val="1-BodyText"/>
              <w:jc w:val="center"/>
              <w:rPr>
                <w:color w:val="000000"/>
                <w:sz w:val="20"/>
                <w:szCs w:val="20"/>
              </w:rPr>
            </w:pPr>
            <w:r>
              <w:rPr>
                <w:color w:val="000000"/>
                <w:sz w:val="20"/>
                <w:szCs w:val="20"/>
              </w:rPr>
              <w:t>24.2%</w:t>
            </w:r>
            <w:r w:rsidRPr="003D55E2">
              <w:rPr>
                <w:color w:val="000000"/>
                <w:sz w:val="20"/>
                <w:szCs w:val="20"/>
                <w:vertAlign w:val="superscript"/>
              </w:rPr>
              <w:t>b</w:t>
            </w:r>
          </w:p>
        </w:tc>
        <w:tc>
          <w:tcPr>
            <w:tcW w:w="12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F910B6" w14:textId="01749030" w:rsidR="00217144" w:rsidRPr="0048268C" w:rsidRDefault="00217144" w:rsidP="00217144">
            <w:pPr>
              <w:pStyle w:val="1-BodyText"/>
              <w:jc w:val="center"/>
              <w:rPr>
                <w:sz w:val="20"/>
                <w:szCs w:val="20"/>
              </w:rPr>
            </w:pPr>
            <w:r w:rsidRPr="00C877A0">
              <w:rPr>
                <w:color w:val="000000"/>
                <w:sz w:val="20"/>
                <w:szCs w:val="20"/>
              </w:rPr>
              <w:t>--</w:t>
            </w:r>
          </w:p>
        </w:tc>
        <w:tc>
          <w:tcPr>
            <w:tcW w:w="12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0305D6" w14:textId="27B67813" w:rsidR="00217144" w:rsidRPr="0048268C" w:rsidRDefault="00217144" w:rsidP="00217144">
            <w:pPr>
              <w:pStyle w:val="1-BodyText"/>
              <w:jc w:val="center"/>
              <w:rPr>
                <w:sz w:val="20"/>
                <w:szCs w:val="20"/>
              </w:rPr>
            </w:pPr>
            <w:r w:rsidRPr="00C877A0">
              <w:rPr>
                <w:color w:val="000000"/>
                <w:sz w:val="20"/>
                <w:szCs w:val="20"/>
              </w:rPr>
              <w:t>--</w:t>
            </w:r>
          </w:p>
        </w:tc>
        <w:tc>
          <w:tcPr>
            <w:tcW w:w="1210" w:type="dxa"/>
            <w:tcBorders>
              <w:top w:val="single" w:sz="4" w:space="0" w:color="auto"/>
              <w:left w:val="single" w:sz="4" w:space="0" w:color="auto"/>
              <w:bottom w:val="single" w:sz="4" w:space="0" w:color="auto"/>
              <w:right w:val="single" w:sz="4" w:space="0" w:color="auto"/>
            </w:tcBorders>
            <w:vAlign w:val="center"/>
          </w:tcPr>
          <w:p w14:paraId="0703B5FE" w14:textId="261E2FDD" w:rsidR="00217144" w:rsidRPr="0048268C" w:rsidRDefault="00217144" w:rsidP="00217144">
            <w:pPr>
              <w:pStyle w:val="1-BodyText"/>
              <w:jc w:val="center"/>
              <w:rPr>
                <w:sz w:val="20"/>
                <w:szCs w:val="20"/>
              </w:rPr>
            </w:pPr>
            <w:r>
              <w:rPr>
                <w:sz w:val="20"/>
                <w:szCs w:val="20"/>
              </w:rPr>
              <w:t>0.6</w:t>
            </w:r>
          </w:p>
        </w:tc>
        <w:tc>
          <w:tcPr>
            <w:tcW w:w="1210" w:type="dxa"/>
            <w:tcBorders>
              <w:top w:val="single" w:sz="4" w:space="0" w:color="auto"/>
              <w:left w:val="single" w:sz="4" w:space="0" w:color="auto"/>
              <w:bottom w:val="single" w:sz="4" w:space="0" w:color="auto"/>
              <w:right w:val="nil"/>
            </w:tcBorders>
            <w:vAlign w:val="center"/>
          </w:tcPr>
          <w:p w14:paraId="34697D2F" w14:textId="67335C70" w:rsidR="00217144" w:rsidRPr="0048268C" w:rsidRDefault="00217144" w:rsidP="00217144">
            <w:pPr>
              <w:pStyle w:val="1-BodyText"/>
              <w:jc w:val="center"/>
              <w:rPr>
                <w:sz w:val="20"/>
                <w:szCs w:val="20"/>
              </w:rPr>
            </w:pPr>
            <w:r>
              <w:rPr>
                <w:sz w:val="20"/>
                <w:szCs w:val="20"/>
              </w:rPr>
              <w:t>72.7%</w:t>
            </w:r>
          </w:p>
        </w:tc>
      </w:tr>
      <w:tr w:rsidR="00217144" w:rsidRPr="003F01CD" w14:paraId="477E0573" w14:textId="6C986C66" w:rsidTr="00775A14">
        <w:trPr>
          <w:trHeight w:val="521"/>
          <w:jc w:val="center"/>
        </w:trPr>
        <w:tc>
          <w:tcPr>
            <w:tcW w:w="990" w:type="dxa"/>
            <w:vMerge/>
          </w:tcPr>
          <w:p w14:paraId="68B374C1" w14:textId="77777777" w:rsidR="00217144" w:rsidRPr="003F01CD" w:rsidRDefault="00217144" w:rsidP="00217144">
            <w:pPr>
              <w:pStyle w:val="1-BodyText"/>
              <w:rPr>
                <w:sz w:val="20"/>
                <w:szCs w:val="20"/>
              </w:rPr>
            </w:pPr>
          </w:p>
        </w:tc>
        <w:tc>
          <w:tcPr>
            <w:tcW w:w="1210" w:type="dxa"/>
            <w:tcBorders>
              <w:bottom w:val="single" w:sz="6" w:space="0" w:color="000000"/>
            </w:tcBorders>
            <w:vAlign w:val="center"/>
          </w:tcPr>
          <w:p w14:paraId="47930141" w14:textId="4452B2F5" w:rsidR="00217144" w:rsidRPr="0048268C" w:rsidRDefault="00217144" w:rsidP="00217144">
            <w:pPr>
              <w:pStyle w:val="1-BodyText"/>
              <w:jc w:val="center"/>
              <w:rPr>
                <w:sz w:val="20"/>
                <w:szCs w:val="20"/>
              </w:rPr>
            </w:pPr>
            <w:r w:rsidRPr="0048268C">
              <w:rPr>
                <w:color w:val="000000"/>
                <w:sz w:val="20"/>
                <w:szCs w:val="20"/>
              </w:rPr>
              <w:t>Second</w:t>
            </w:r>
            <w:r>
              <w:rPr>
                <w:color w:val="000000"/>
                <w:sz w:val="20"/>
                <w:szCs w:val="20"/>
              </w:rPr>
              <w:t xml:space="preserve"> </w:t>
            </w:r>
            <w:r w:rsidRPr="0048268C">
              <w:rPr>
                <w:color w:val="000000"/>
                <w:sz w:val="20"/>
                <w:szCs w:val="20"/>
              </w:rPr>
              <w:t>(25.3)</w:t>
            </w:r>
          </w:p>
        </w:tc>
        <w:tc>
          <w:tcPr>
            <w:tcW w:w="1210" w:type="dxa"/>
            <w:tcBorders>
              <w:bottom w:val="single" w:sz="6" w:space="0" w:color="000000"/>
            </w:tcBorders>
            <w:vAlign w:val="center"/>
          </w:tcPr>
          <w:p w14:paraId="6DA3FF17" w14:textId="340F05EB" w:rsidR="00217144" w:rsidRPr="0048268C" w:rsidRDefault="00217144" w:rsidP="00217144">
            <w:pPr>
              <w:pStyle w:val="1-BodyText"/>
              <w:jc w:val="center"/>
              <w:rPr>
                <w:sz w:val="20"/>
                <w:szCs w:val="20"/>
              </w:rPr>
            </w:pPr>
            <w:r w:rsidRPr="0048268C">
              <w:rPr>
                <w:sz w:val="20"/>
                <w:szCs w:val="20"/>
              </w:rPr>
              <w:t>7.5%</w:t>
            </w:r>
          </w:p>
        </w:tc>
        <w:tc>
          <w:tcPr>
            <w:tcW w:w="1210" w:type="dxa"/>
            <w:tcBorders>
              <w:bottom w:val="single" w:sz="6" w:space="0" w:color="000000"/>
            </w:tcBorders>
            <w:vAlign w:val="center"/>
          </w:tcPr>
          <w:p w14:paraId="3C22CC2F" w14:textId="1850C126" w:rsidR="00217144" w:rsidRPr="0048268C" w:rsidRDefault="00217144" w:rsidP="00217144">
            <w:pPr>
              <w:pStyle w:val="1-BodyText"/>
              <w:jc w:val="center"/>
              <w:rPr>
                <w:sz w:val="20"/>
                <w:szCs w:val="20"/>
              </w:rPr>
            </w:pPr>
            <w:r w:rsidRPr="0048268C">
              <w:rPr>
                <w:color w:val="000000"/>
                <w:sz w:val="20"/>
                <w:szCs w:val="20"/>
              </w:rPr>
              <w:t>27 (90.0%)</w:t>
            </w:r>
          </w:p>
        </w:tc>
        <w:tc>
          <w:tcPr>
            <w:tcW w:w="1210" w:type="dxa"/>
            <w:tcBorders>
              <w:bottom w:val="single" w:sz="6" w:space="0" w:color="000000"/>
            </w:tcBorders>
            <w:vAlign w:val="center"/>
          </w:tcPr>
          <w:p w14:paraId="0F6DDF07" w14:textId="5F54DB5D" w:rsidR="00217144" w:rsidRPr="0048268C" w:rsidRDefault="00217144" w:rsidP="00217144">
            <w:pPr>
              <w:pStyle w:val="1-BodyText"/>
              <w:jc w:val="center"/>
              <w:rPr>
                <w:sz w:val="20"/>
                <w:szCs w:val="20"/>
              </w:rPr>
            </w:pPr>
            <w:r w:rsidRPr="0048268C">
              <w:rPr>
                <w:color w:val="000000"/>
                <w:sz w:val="20"/>
                <w:szCs w:val="20"/>
              </w:rPr>
              <w:t>25 (83.4%)</w:t>
            </w:r>
          </w:p>
        </w:tc>
        <w:tc>
          <w:tcPr>
            <w:tcW w:w="1210" w:type="dxa"/>
            <w:tcBorders>
              <w:top w:val="single" w:sz="4" w:space="0" w:color="auto"/>
              <w:bottom w:val="single" w:sz="4" w:space="0" w:color="auto"/>
              <w:right w:val="single" w:sz="4" w:space="0" w:color="auto"/>
            </w:tcBorders>
            <w:vAlign w:val="center"/>
          </w:tcPr>
          <w:p w14:paraId="4603435E" w14:textId="2B19AB91" w:rsidR="00217144" w:rsidRPr="0048268C" w:rsidRDefault="00217144" w:rsidP="00217144">
            <w:pPr>
              <w:pStyle w:val="1-BodyText"/>
              <w:jc w:val="center"/>
              <w:rPr>
                <w:color w:val="000000"/>
                <w:sz w:val="20"/>
                <w:szCs w:val="20"/>
              </w:rPr>
            </w:pPr>
            <w:r>
              <w:rPr>
                <w:color w:val="000000"/>
                <w:sz w:val="20"/>
                <w:szCs w:val="20"/>
              </w:rPr>
              <w:t>16.4%</w:t>
            </w:r>
            <w:r w:rsidRPr="003D55E2">
              <w:rPr>
                <w:color w:val="000000"/>
                <w:sz w:val="20"/>
                <w:szCs w:val="20"/>
                <w:vertAlign w:val="superscript"/>
              </w:rPr>
              <w:t>b</w:t>
            </w:r>
          </w:p>
        </w:tc>
        <w:tc>
          <w:tcPr>
            <w:tcW w:w="12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078680" w14:textId="6D36ACD0" w:rsidR="00217144" w:rsidRPr="0048268C" w:rsidRDefault="00217144" w:rsidP="00217144">
            <w:pPr>
              <w:pStyle w:val="1-BodyText"/>
              <w:jc w:val="center"/>
              <w:rPr>
                <w:sz w:val="20"/>
                <w:szCs w:val="20"/>
              </w:rPr>
            </w:pPr>
            <w:r w:rsidRPr="00C877A0">
              <w:rPr>
                <w:color w:val="000000"/>
                <w:sz w:val="20"/>
                <w:szCs w:val="20"/>
              </w:rPr>
              <w:t>--</w:t>
            </w:r>
          </w:p>
        </w:tc>
        <w:tc>
          <w:tcPr>
            <w:tcW w:w="12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642161" w14:textId="19D8EAC1" w:rsidR="00217144" w:rsidRPr="0048268C" w:rsidRDefault="00217144" w:rsidP="00217144">
            <w:pPr>
              <w:pStyle w:val="1-BodyText"/>
              <w:jc w:val="center"/>
              <w:rPr>
                <w:sz w:val="20"/>
                <w:szCs w:val="20"/>
              </w:rPr>
            </w:pPr>
            <w:r w:rsidRPr="00C877A0">
              <w:rPr>
                <w:color w:val="000000"/>
                <w:sz w:val="20"/>
                <w:szCs w:val="20"/>
              </w:rPr>
              <w:t>--</w:t>
            </w:r>
          </w:p>
        </w:tc>
        <w:tc>
          <w:tcPr>
            <w:tcW w:w="1210" w:type="dxa"/>
            <w:tcBorders>
              <w:top w:val="single" w:sz="4" w:space="0" w:color="auto"/>
              <w:left w:val="single" w:sz="4" w:space="0" w:color="auto"/>
              <w:bottom w:val="single" w:sz="4" w:space="0" w:color="auto"/>
              <w:right w:val="single" w:sz="4" w:space="0" w:color="auto"/>
            </w:tcBorders>
            <w:vAlign w:val="center"/>
          </w:tcPr>
          <w:p w14:paraId="0EB27B4C" w14:textId="5D975435" w:rsidR="00217144" w:rsidRPr="0048268C" w:rsidRDefault="00217144" w:rsidP="00217144">
            <w:pPr>
              <w:pStyle w:val="1-BodyText"/>
              <w:jc w:val="center"/>
              <w:rPr>
                <w:sz w:val="20"/>
                <w:szCs w:val="20"/>
              </w:rPr>
            </w:pPr>
            <w:r>
              <w:rPr>
                <w:sz w:val="20"/>
                <w:szCs w:val="20"/>
              </w:rPr>
              <w:t>0.9</w:t>
            </w:r>
          </w:p>
        </w:tc>
        <w:tc>
          <w:tcPr>
            <w:tcW w:w="1210" w:type="dxa"/>
            <w:tcBorders>
              <w:top w:val="single" w:sz="4" w:space="0" w:color="auto"/>
              <w:left w:val="single" w:sz="4" w:space="0" w:color="auto"/>
              <w:bottom w:val="single" w:sz="4" w:space="0" w:color="auto"/>
              <w:right w:val="nil"/>
            </w:tcBorders>
            <w:vAlign w:val="center"/>
          </w:tcPr>
          <w:p w14:paraId="2E836E2E" w14:textId="68A270F6" w:rsidR="00217144" w:rsidRPr="0048268C" w:rsidRDefault="00217144" w:rsidP="00217144">
            <w:pPr>
              <w:pStyle w:val="1-BodyText"/>
              <w:jc w:val="center"/>
              <w:rPr>
                <w:sz w:val="20"/>
                <w:szCs w:val="20"/>
              </w:rPr>
            </w:pPr>
            <w:r>
              <w:rPr>
                <w:sz w:val="20"/>
                <w:szCs w:val="20"/>
              </w:rPr>
              <w:t>59.1%</w:t>
            </w:r>
          </w:p>
        </w:tc>
      </w:tr>
      <w:tr w:rsidR="00217144" w:rsidRPr="003F01CD" w14:paraId="0E795954" w14:textId="77777777" w:rsidTr="00775A14">
        <w:trPr>
          <w:trHeight w:val="521"/>
          <w:jc w:val="center"/>
        </w:trPr>
        <w:tc>
          <w:tcPr>
            <w:tcW w:w="990" w:type="dxa"/>
            <w:vMerge/>
          </w:tcPr>
          <w:p w14:paraId="6FFBD839" w14:textId="77777777" w:rsidR="00217144" w:rsidRPr="003F01CD" w:rsidRDefault="00217144" w:rsidP="00217144">
            <w:pPr>
              <w:pStyle w:val="1-BodyText"/>
              <w:rPr>
                <w:sz w:val="20"/>
                <w:szCs w:val="20"/>
              </w:rPr>
            </w:pPr>
          </w:p>
        </w:tc>
        <w:tc>
          <w:tcPr>
            <w:tcW w:w="1210" w:type="dxa"/>
            <w:tcBorders>
              <w:bottom w:val="single" w:sz="6" w:space="0" w:color="000000"/>
            </w:tcBorders>
            <w:vAlign w:val="center"/>
          </w:tcPr>
          <w:p w14:paraId="2BA3042F" w14:textId="486F5081" w:rsidR="00217144" w:rsidRPr="0048268C" w:rsidRDefault="00217144" w:rsidP="00217144">
            <w:pPr>
              <w:pStyle w:val="1-BodyText"/>
              <w:jc w:val="center"/>
              <w:rPr>
                <w:color w:val="000000"/>
                <w:sz w:val="20"/>
                <w:szCs w:val="20"/>
              </w:rPr>
            </w:pPr>
            <w:r w:rsidRPr="0048268C">
              <w:rPr>
                <w:color w:val="000000"/>
                <w:sz w:val="20"/>
                <w:szCs w:val="20"/>
              </w:rPr>
              <w:t>Third (35.4)</w:t>
            </w:r>
          </w:p>
        </w:tc>
        <w:tc>
          <w:tcPr>
            <w:tcW w:w="1210" w:type="dxa"/>
            <w:tcBorders>
              <w:bottom w:val="single" w:sz="6" w:space="0" w:color="000000"/>
            </w:tcBorders>
            <w:vAlign w:val="center"/>
          </w:tcPr>
          <w:p w14:paraId="27E4541F" w14:textId="3F62E13D" w:rsidR="00217144" w:rsidRPr="0048268C" w:rsidRDefault="00217144" w:rsidP="00217144">
            <w:pPr>
              <w:pStyle w:val="1-BodyText"/>
              <w:jc w:val="center"/>
              <w:rPr>
                <w:color w:val="000000"/>
                <w:sz w:val="20"/>
                <w:szCs w:val="20"/>
              </w:rPr>
            </w:pPr>
            <w:r w:rsidRPr="0048268C">
              <w:rPr>
                <w:color w:val="000000"/>
                <w:sz w:val="20"/>
                <w:szCs w:val="20"/>
              </w:rPr>
              <w:t>35.0%</w:t>
            </w:r>
          </w:p>
        </w:tc>
        <w:tc>
          <w:tcPr>
            <w:tcW w:w="1210" w:type="dxa"/>
            <w:tcBorders>
              <w:bottom w:val="single" w:sz="6" w:space="0" w:color="000000"/>
            </w:tcBorders>
            <w:vAlign w:val="center"/>
          </w:tcPr>
          <w:p w14:paraId="7D7BE2F4" w14:textId="78AA237D" w:rsidR="00217144" w:rsidRPr="0048268C" w:rsidRDefault="00217144" w:rsidP="00217144">
            <w:pPr>
              <w:pStyle w:val="1-BodyText"/>
              <w:jc w:val="center"/>
              <w:rPr>
                <w:color w:val="000000"/>
                <w:sz w:val="20"/>
                <w:szCs w:val="20"/>
              </w:rPr>
            </w:pPr>
            <w:r w:rsidRPr="0048268C">
              <w:rPr>
                <w:color w:val="000000"/>
                <w:sz w:val="20"/>
                <w:szCs w:val="20"/>
              </w:rPr>
              <w:t>26 (86.7%)</w:t>
            </w:r>
          </w:p>
        </w:tc>
        <w:tc>
          <w:tcPr>
            <w:tcW w:w="1210" w:type="dxa"/>
            <w:tcBorders>
              <w:bottom w:val="single" w:sz="6" w:space="0" w:color="000000"/>
            </w:tcBorders>
            <w:vAlign w:val="center"/>
          </w:tcPr>
          <w:p w14:paraId="14BEA59A" w14:textId="213CC4A9" w:rsidR="00217144" w:rsidRPr="0048268C" w:rsidRDefault="00217144" w:rsidP="00217144">
            <w:pPr>
              <w:pStyle w:val="1-BodyText"/>
              <w:jc w:val="center"/>
              <w:rPr>
                <w:color w:val="000000"/>
                <w:sz w:val="20"/>
                <w:szCs w:val="20"/>
              </w:rPr>
            </w:pPr>
            <w:r w:rsidRPr="0048268C">
              <w:rPr>
                <w:color w:val="000000"/>
                <w:sz w:val="20"/>
                <w:szCs w:val="20"/>
              </w:rPr>
              <w:t>24 (80.0%)</w:t>
            </w:r>
          </w:p>
        </w:tc>
        <w:tc>
          <w:tcPr>
            <w:tcW w:w="1210" w:type="dxa"/>
            <w:tcBorders>
              <w:top w:val="single" w:sz="4" w:space="0" w:color="auto"/>
              <w:bottom w:val="single" w:sz="4" w:space="0" w:color="auto"/>
              <w:right w:val="single" w:sz="4" w:space="0" w:color="auto"/>
            </w:tcBorders>
            <w:vAlign w:val="center"/>
          </w:tcPr>
          <w:p w14:paraId="70E3BB44" w14:textId="54421E6B" w:rsidR="00217144" w:rsidRPr="0048268C" w:rsidRDefault="001C4E64" w:rsidP="00217144">
            <w:pPr>
              <w:pStyle w:val="1-BodyText"/>
              <w:jc w:val="center"/>
              <w:rPr>
                <w:color w:val="000000"/>
                <w:sz w:val="20"/>
                <w:szCs w:val="20"/>
              </w:rPr>
            </w:pPr>
            <w:r>
              <w:rPr>
                <w:color w:val="000000"/>
                <w:sz w:val="20"/>
                <w:szCs w:val="20"/>
              </w:rPr>
              <w:t>5.1%</w:t>
            </w:r>
            <w:r w:rsidRPr="003D55E2">
              <w:rPr>
                <w:color w:val="000000"/>
                <w:sz w:val="20"/>
                <w:szCs w:val="20"/>
                <w:vertAlign w:val="superscript"/>
              </w:rPr>
              <w:t>b</w:t>
            </w:r>
          </w:p>
        </w:tc>
        <w:tc>
          <w:tcPr>
            <w:tcW w:w="12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B9413FD" w14:textId="1E11B2EA" w:rsidR="00217144" w:rsidRPr="0048268C" w:rsidRDefault="00217144" w:rsidP="00217144">
            <w:pPr>
              <w:pStyle w:val="1-BodyText"/>
              <w:jc w:val="center"/>
              <w:rPr>
                <w:color w:val="000000"/>
                <w:sz w:val="20"/>
                <w:szCs w:val="20"/>
              </w:rPr>
            </w:pPr>
            <w:r w:rsidRPr="00C877A0">
              <w:rPr>
                <w:color w:val="000000"/>
                <w:sz w:val="20"/>
                <w:szCs w:val="20"/>
              </w:rPr>
              <w:t>--</w:t>
            </w:r>
          </w:p>
        </w:tc>
        <w:tc>
          <w:tcPr>
            <w:tcW w:w="12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CFCD84" w14:textId="159D1EA9" w:rsidR="00217144" w:rsidRPr="0048268C" w:rsidRDefault="00217144" w:rsidP="00217144">
            <w:pPr>
              <w:pStyle w:val="1-BodyText"/>
              <w:jc w:val="center"/>
              <w:rPr>
                <w:color w:val="000000"/>
                <w:sz w:val="20"/>
                <w:szCs w:val="20"/>
              </w:rPr>
            </w:pPr>
            <w:r w:rsidRPr="00C877A0">
              <w:rPr>
                <w:color w:val="000000"/>
                <w:sz w:val="20"/>
                <w:szCs w:val="20"/>
              </w:rPr>
              <w:t>--</w:t>
            </w:r>
          </w:p>
        </w:tc>
        <w:tc>
          <w:tcPr>
            <w:tcW w:w="1210" w:type="dxa"/>
            <w:tcBorders>
              <w:top w:val="single" w:sz="4" w:space="0" w:color="auto"/>
              <w:left w:val="single" w:sz="4" w:space="0" w:color="auto"/>
              <w:bottom w:val="single" w:sz="4" w:space="0" w:color="auto"/>
              <w:right w:val="single" w:sz="4" w:space="0" w:color="auto"/>
            </w:tcBorders>
            <w:vAlign w:val="center"/>
          </w:tcPr>
          <w:p w14:paraId="010C1D7E" w14:textId="57BDAD6C" w:rsidR="00217144" w:rsidRPr="0048268C" w:rsidRDefault="001C4E64" w:rsidP="00217144">
            <w:pPr>
              <w:pStyle w:val="1-BodyText"/>
              <w:jc w:val="center"/>
              <w:rPr>
                <w:color w:val="000000"/>
                <w:sz w:val="20"/>
                <w:szCs w:val="20"/>
              </w:rPr>
            </w:pPr>
            <w:r>
              <w:rPr>
                <w:color w:val="000000"/>
                <w:sz w:val="20"/>
                <w:szCs w:val="20"/>
              </w:rPr>
              <w:t>0.4</w:t>
            </w:r>
          </w:p>
        </w:tc>
        <w:tc>
          <w:tcPr>
            <w:tcW w:w="1210" w:type="dxa"/>
            <w:tcBorders>
              <w:top w:val="single" w:sz="4" w:space="0" w:color="auto"/>
              <w:left w:val="single" w:sz="4" w:space="0" w:color="auto"/>
              <w:bottom w:val="single" w:sz="4" w:space="0" w:color="auto"/>
              <w:right w:val="nil"/>
            </w:tcBorders>
            <w:vAlign w:val="center"/>
          </w:tcPr>
          <w:p w14:paraId="48D42AC3" w14:textId="5D71B6C8" w:rsidR="00217144" w:rsidRPr="0048268C" w:rsidRDefault="001C4E64" w:rsidP="00217144">
            <w:pPr>
              <w:pStyle w:val="1-BodyText"/>
              <w:jc w:val="center"/>
              <w:rPr>
                <w:color w:val="000000"/>
                <w:sz w:val="20"/>
                <w:szCs w:val="20"/>
              </w:rPr>
            </w:pPr>
            <w:r>
              <w:rPr>
                <w:color w:val="000000"/>
                <w:sz w:val="20"/>
                <w:szCs w:val="20"/>
              </w:rPr>
              <w:t>81.2%</w:t>
            </w:r>
          </w:p>
        </w:tc>
      </w:tr>
      <w:tr w:rsidR="00162FA5" w:rsidRPr="003F01CD" w14:paraId="193FF86A" w14:textId="62B65154" w:rsidTr="009860DB">
        <w:trPr>
          <w:trHeight w:val="272"/>
          <w:jc w:val="center"/>
        </w:trPr>
        <w:tc>
          <w:tcPr>
            <w:tcW w:w="11880" w:type="dxa"/>
            <w:gridSpan w:val="10"/>
          </w:tcPr>
          <w:p w14:paraId="1B9628BB" w14:textId="4A8736BB" w:rsidR="006F3439" w:rsidRPr="00DD4769" w:rsidRDefault="006F3439" w:rsidP="00DD4769">
            <w:pPr>
              <w:pStyle w:val="1-BodyText"/>
              <w:spacing w:after="0"/>
              <w:rPr>
                <w:sz w:val="16"/>
                <w:szCs w:val="16"/>
              </w:rPr>
            </w:pPr>
            <w:r w:rsidRPr="00DD4769">
              <w:rPr>
                <w:sz w:val="16"/>
                <w:szCs w:val="16"/>
                <w:vertAlign w:val="superscript"/>
              </w:rPr>
              <w:t>a</w:t>
            </w:r>
            <w:r w:rsidRPr="00DD4769">
              <w:rPr>
                <w:sz w:val="16"/>
                <w:szCs w:val="16"/>
              </w:rPr>
              <w:t>: Result for 72-hour mortality when tested against the resistant strain using tunnel tests</w:t>
            </w:r>
          </w:p>
          <w:p w14:paraId="65E72927" w14:textId="17CCF449" w:rsidR="005B7ED8" w:rsidRDefault="006F3439" w:rsidP="0008699C">
            <w:pPr>
              <w:pStyle w:val="1-BodyText"/>
              <w:spacing w:after="0"/>
              <w:rPr>
                <w:sz w:val="16"/>
                <w:szCs w:val="16"/>
              </w:rPr>
            </w:pPr>
            <w:r w:rsidRPr="00DD4769">
              <w:rPr>
                <w:sz w:val="16"/>
                <w:szCs w:val="16"/>
                <w:vertAlign w:val="superscript"/>
              </w:rPr>
              <w:t>b</w:t>
            </w:r>
            <w:r w:rsidR="005B7ED8" w:rsidRPr="00DD4769">
              <w:rPr>
                <w:sz w:val="16"/>
                <w:szCs w:val="16"/>
              </w:rPr>
              <w:t>: Result for 24-hour mortality when tested against the resistant strain on the PBO using cone bioassays</w:t>
            </w:r>
          </w:p>
          <w:p w14:paraId="075AF124" w14:textId="57449147" w:rsidR="00162FA5" w:rsidRPr="003F01CD" w:rsidRDefault="00162FA5" w:rsidP="00DD4769">
            <w:pPr>
              <w:pStyle w:val="1-BodyText"/>
              <w:spacing w:after="0"/>
              <w:rPr>
                <w:sz w:val="20"/>
                <w:szCs w:val="20"/>
              </w:rPr>
            </w:pPr>
            <w:r w:rsidRPr="00DD4769">
              <w:rPr>
                <w:sz w:val="16"/>
                <w:szCs w:val="16"/>
                <w:highlight w:val="lightGray"/>
              </w:rPr>
              <w:t>--</w:t>
            </w:r>
            <w:r w:rsidRPr="00DD4769">
              <w:rPr>
                <w:sz w:val="16"/>
                <w:szCs w:val="16"/>
              </w:rPr>
              <w:t>: Not applicable</w:t>
            </w:r>
          </w:p>
        </w:tc>
      </w:tr>
    </w:tbl>
    <w:p w14:paraId="3116E3BB" w14:textId="77777777" w:rsidR="0003079D" w:rsidRDefault="0003079D" w:rsidP="0003079D"/>
    <w:p w14:paraId="288ECBC7" w14:textId="0A991B93" w:rsidR="003F39E1" w:rsidRDefault="003F39E1" w:rsidP="00D0705D">
      <w:pPr>
        <w:pStyle w:val="Heading2"/>
        <w:numPr>
          <w:ilvl w:val="0"/>
          <w:numId w:val="0"/>
        </w:numPr>
        <w:ind w:left="720" w:hanging="720"/>
      </w:pPr>
      <w:r>
        <w:t xml:space="preserve">Key Risk Factors for </w:t>
      </w:r>
      <w:r w:rsidR="00535925">
        <w:t>Sampled</w:t>
      </w:r>
      <w:r>
        <w:t xml:space="preserve"> ITN Physical Durability</w:t>
      </w:r>
      <w:r w:rsidR="000255F2">
        <w:t xml:space="preserve"> at Endline</w:t>
      </w:r>
    </w:p>
    <w:p w14:paraId="42BFD1D1" w14:textId="5AFE746A" w:rsidR="00846280" w:rsidRPr="00846280" w:rsidRDefault="00846280" w:rsidP="00846280">
      <w:pPr>
        <w:pStyle w:val="ListParagraph"/>
        <w:numPr>
          <w:ilvl w:val="0"/>
          <w:numId w:val="6"/>
        </w:numPr>
      </w:pPr>
      <w:r w:rsidRPr="00846280">
        <w:t>Hanging nets should be folded or tied when not in use to enhance their longevity.</w:t>
      </w:r>
      <w:r w:rsidRPr="004A3C5E">
        <w:rPr>
          <w:rStyle w:val="FootnoteReference"/>
        </w:rPr>
        <w:footnoteReference w:id="3"/>
      </w:r>
      <w:r w:rsidR="003C0AEF">
        <w:rPr>
          <w:vertAlign w:val="superscript"/>
        </w:rPr>
        <w:t>,</w:t>
      </w:r>
      <w:r w:rsidR="003C0AEF" w:rsidRPr="004A3C5E">
        <w:rPr>
          <w:rStyle w:val="FootnoteReference"/>
        </w:rPr>
        <w:footnoteReference w:id="4"/>
      </w:r>
      <w:r w:rsidRPr="00846280">
        <w:t xml:space="preserve"> </w:t>
      </w:r>
      <w:r w:rsidR="00037FA6" w:rsidRPr="00037FA6">
        <w:t>A decline in this protective practice</w:t>
      </w:r>
      <w:r w:rsidR="00037FA6">
        <w:t xml:space="preserve"> </w:t>
      </w:r>
      <w:r w:rsidR="00037FA6" w:rsidRPr="00037FA6">
        <w:t>reflected by an increase in ITNs left hanging loose over sleeping spaces</w:t>
      </w:r>
      <w:r w:rsidR="007415A1">
        <w:t xml:space="preserve"> </w:t>
      </w:r>
      <w:r w:rsidR="00037FA6" w:rsidRPr="00037FA6">
        <w:t xml:space="preserve">was observed from 83% (25/30) at 24 months to 60% (18/30) at 36 months in Lagdo, and from 77% (23/30) to 70% (21/30) in Pitoa. Nonetheless, the prevalence of </w:t>
      </w:r>
      <w:r w:rsidR="00B235B3">
        <w:t>this practice</w:t>
      </w:r>
      <w:r w:rsidR="00037FA6" w:rsidRPr="00037FA6">
        <w:t xml:space="preserve"> remained relatively high </w:t>
      </w:r>
      <w:proofErr w:type="gramStart"/>
      <w:r w:rsidR="00037FA6" w:rsidRPr="00037FA6">
        <w:t>in</w:t>
      </w:r>
      <w:proofErr w:type="gramEnd"/>
      <w:r w:rsidR="00037FA6" w:rsidRPr="00037FA6">
        <w:t xml:space="preserve"> both sites.</w:t>
      </w:r>
    </w:p>
    <w:p w14:paraId="53E10B47" w14:textId="149FF0BF" w:rsidR="00846280" w:rsidRDefault="00846280" w:rsidP="00846280">
      <w:pPr>
        <w:pStyle w:val="ListParagraph"/>
        <w:numPr>
          <w:ilvl w:val="0"/>
          <w:numId w:val="6"/>
        </w:numPr>
        <w:spacing w:after="0"/>
        <w:contextualSpacing w:val="0"/>
      </w:pPr>
      <w:r w:rsidRPr="00846280">
        <w:t>Generally, nets used when sleeping on mats or the ground are more prone to wear and tear than those used over mattresses and bed frames.</w:t>
      </w:r>
      <w:r w:rsidRPr="004A3C5E">
        <w:rPr>
          <w:rStyle w:val="FootnoteReference"/>
        </w:rPr>
        <w:footnoteReference w:id="5"/>
      </w:r>
      <w:r w:rsidRPr="00846280">
        <w:rPr>
          <w:vertAlign w:val="superscript"/>
        </w:rPr>
        <w:t>,</w:t>
      </w:r>
      <w:r w:rsidR="00276551">
        <w:rPr>
          <w:vertAlign w:val="superscript"/>
        </w:rPr>
        <w:t>1</w:t>
      </w:r>
      <w:r w:rsidRPr="00846280">
        <w:t xml:space="preserve"> A higher</w:t>
      </w:r>
      <w:r w:rsidR="00CD4C7F">
        <w:t xml:space="preserve"> but statistically insignificant</w:t>
      </w:r>
      <w:r w:rsidRPr="00846280">
        <w:t xml:space="preserve"> proportion of nets were hung over a mat or the ground in </w:t>
      </w:r>
      <w:r w:rsidR="0083202A">
        <w:t>Pitoa</w:t>
      </w:r>
      <w:r w:rsidRPr="00846280">
        <w:t xml:space="preserve"> (</w:t>
      </w:r>
      <w:r w:rsidR="0083202A">
        <w:t>20</w:t>
      </w:r>
      <w:r w:rsidRPr="00846280">
        <w:t xml:space="preserve">%, </w:t>
      </w:r>
      <w:r w:rsidR="00001EAC">
        <w:t>6</w:t>
      </w:r>
      <w:r w:rsidRPr="00846280">
        <w:t xml:space="preserve">/30) compared to </w:t>
      </w:r>
      <w:r w:rsidR="00001EAC">
        <w:t>Lagdo</w:t>
      </w:r>
      <w:r w:rsidRPr="00846280">
        <w:t xml:space="preserve"> (</w:t>
      </w:r>
      <w:r w:rsidR="00001EAC">
        <w:t>7</w:t>
      </w:r>
      <w:r w:rsidRPr="00846280">
        <w:t xml:space="preserve">%, </w:t>
      </w:r>
      <w:r w:rsidR="00001EAC">
        <w:t>2</w:t>
      </w:r>
      <w:r w:rsidRPr="00846280">
        <w:t>/30)</w:t>
      </w:r>
      <w:r w:rsidR="00DD4769">
        <w:t>. However, this practice was relatively uncommon in both districts.</w:t>
      </w:r>
      <w:r w:rsidRPr="00846280">
        <w:t xml:space="preserve"> </w:t>
      </w:r>
    </w:p>
    <w:p w14:paraId="7A21B4B9" w14:textId="0B90C9B0" w:rsidR="00B5354E" w:rsidRPr="00846280" w:rsidRDefault="00BC0969" w:rsidP="00846280">
      <w:pPr>
        <w:pStyle w:val="ListParagraph"/>
        <w:numPr>
          <w:ilvl w:val="0"/>
          <w:numId w:val="6"/>
        </w:numPr>
        <w:spacing w:after="0"/>
        <w:contextualSpacing w:val="0"/>
      </w:pPr>
      <w:r w:rsidRPr="00BC0969">
        <w:t>Nets that were slept under by children or by both children and adults have a higher risk of failure</w:t>
      </w:r>
      <w:r w:rsidR="003D0282" w:rsidRPr="003D0282">
        <w:rPr>
          <w:vertAlign w:val="superscript"/>
        </w:rPr>
        <w:t>3</w:t>
      </w:r>
      <w:r w:rsidRPr="00BC0969">
        <w:t>.</w:t>
      </w:r>
      <w:r w:rsidR="009B4E8A">
        <w:t xml:space="preserve"> </w:t>
      </w:r>
      <w:r w:rsidR="00112892">
        <w:t>A slightly higher, though statistically insignificant, proportion of nets were used exclusively by children in Lagdo (23%, 7/30) and</w:t>
      </w:r>
      <w:r w:rsidR="001E3837">
        <w:t xml:space="preserve"> in</w:t>
      </w:r>
      <w:r w:rsidR="00112892">
        <w:t xml:space="preserve"> Pitoa (17%, 5/30). Nonetheless, this practice remained relatively uncommon in both districts.</w:t>
      </w:r>
    </w:p>
    <w:p w14:paraId="56850EF0" w14:textId="54B45795" w:rsidR="00AB7F56" w:rsidRPr="00AB7F56" w:rsidRDefault="00000000" w:rsidP="00AB7F56">
      <w:pPr>
        <w:pStyle w:val="ListParagraph"/>
        <w:numPr>
          <w:ilvl w:val="0"/>
          <w:numId w:val="6"/>
        </w:numPr>
      </w:pPr>
      <w:sdt>
        <w:sdtPr>
          <w:tag w:val="goog_rdk_21"/>
          <w:id w:val="1058208323"/>
        </w:sdtPr>
        <w:sdtContent/>
      </w:sdt>
      <w:sdt>
        <w:sdtPr>
          <w:tag w:val="goog_rdk_22"/>
          <w:id w:val="1266353795"/>
        </w:sdtPr>
        <w:sdtContent/>
      </w:sdt>
      <w:sdt>
        <w:sdtPr>
          <w:tag w:val="goog_rdk_23"/>
          <w:id w:val="694581282"/>
        </w:sdtPr>
        <w:sdtContent/>
      </w:sdt>
      <w:r w:rsidR="00846280" w:rsidRPr="00846280">
        <w:t>Drying nets in the sun after washing can reduce the physical and chemical durability of an ITN</w:t>
      </w:r>
      <w:r w:rsidR="003D0282">
        <w:t>.</w:t>
      </w:r>
      <w:r w:rsidR="00846280" w:rsidRPr="004A3C5E">
        <w:rPr>
          <w:rStyle w:val="FootnoteReference"/>
        </w:rPr>
        <w:footnoteReference w:id="6"/>
      </w:r>
      <w:r w:rsidR="00846280" w:rsidRPr="00846280">
        <w:t xml:space="preserve"> This practice was very common across the </w:t>
      </w:r>
      <w:r w:rsidR="00444390">
        <w:t>assessment</w:t>
      </w:r>
      <w:r w:rsidR="00444390" w:rsidRPr="00846280">
        <w:t xml:space="preserve"> </w:t>
      </w:r>
      <w:r w:rsidR="00846280" w:rsidRPr="00846280">
        <w:t>sites</w:t>
      </w:r>
      <w:r w:rsidR="008C4FE8">
        <w:t>, though it was more popular in Lagdo than Pitoa</w:t>
      </w:r>
      <w:r w:rsidR="00846280" w:rsidRPr="00846280">
        <w:t>. Among nets that had been washed, 8</w:t>
      </w:r>
      <w:r w:rsidR="001611D9">
        <w:t>9</w:t>
      </w:r>
      <w:r w:rsidR="00846280" w:rsidRPr="00846280">
        <w:t>% (2</w:t>
      </w:r>
      <w:r w:rsidR="00932DBA">
        <w:t>5</w:t>
      </w:r>
      <w:r w:rsidR="00846280" w:rsidRPr="00846280">
        <w:t xml:space="preserve">/28) in Lagdo and </w:t>
      </w:r>
      <w:r w:rsidR="00932DBA">
        <w:t>61</w:t>
      </w:r>
      <w:r w:rsidR="00846280" w:rsidRPr="00846280">
        <w:t>% (1</w:t>
      </w:r>
      <w:r w:rsidR="00932DBA">
        <w:t>7</w:t>
      </w:r>
      <w:r w:rsidR="00846280" w:rsidRPr="00846280">
        <w:t>/</w:t>
      </w:r>
      <w:r w:rsidR="000321BE">
        <w:t>28</w:t>
      </w:r>
      <w:r w:rsidR="00846280" w:rsidRPr="00846280">
        <w:t>) in Pitoa had been dried in the sun afterwards</w:t>
      </w:r>
      <w:r w:rsidR="00990B8F">
        <w:t xml:space="preserve"> (</w:t>
      </w:r>
      <w:r w:rsidR="00325109">
        <w:t>p=</w:t>
      </w:r>
      <w:r w:rsidR="00325109" w:rsidRPr="00325109">
        <w:t xml:space="preserve"> 0.0188</w:t>
      </w:r>
      <w:r w:rsidR="00990B8F">
        <w:t>)</w:t>
      </w:r>
      <w:r w:rsidR="00846280" w:rsidRPr="00846280">
        <w:t>.</w:t>
      </w:r>
    </w:p>
    <w:p w14:paraId="499AF99C" w14:textId="5298498A" w:rsidR="00AB7F56" w:rsidRPr="00AB7F56" w:rsidRDefault="00AB7F56" w:rsidP="00AB7F56">
      <w:pPr>
        <w:pStyle w:val="ListParagraph"/>
        <w:numPr>
          <w:ilvl w:val="0"/>
          <w:numId w:val="6"/>
        </w:numPr>
      </w:pPr>
      <w:r w:rsidRPr="00AB7F56">
        <w:t>Using detergent or bleach during washing may also damage the physical and chemical durability of an ITN.</w:t>
      </w:r>
      <w:r w:rsidRPr="004A3C5E">
        <w:rPr>
          <w:rStyle w:val="FootnoteReference"/>
        </w:rPr>
        <w:footnoteReference w:id="7"/>
      </w:r>
      <w:r w:rsidRPr="00AB7F56">
        <w:t xml:space="preserve"> This </w:t>
      </w:r>
      <w:r w:rsidR="00197694">
        <w:t>washing behavior</w:t>
      </w:r>
      <w:r w:rsidRPr="00AB7F56">
        <w:t xml:space="preserve"> was more common in Pitoa with </w:t>
      </w:r>
      <w:r w:rsidR="00B21526">
        <w:t>5</w:t>
      </w:r>
      <w:r w:rsidRPr="00AB7F56">
        <w:t>4% (1</w:t>
      </w:r>
      <w:r w:rsidR="00B21526">
        <w:t>5</w:t>
      </w:r>
      <w:r w:rsidRPr="00AB7F56">
        <w:t>/2</w:t>
      </w:r>
      <w:r w:rsidR="000321BE">
        <w:t>8</w:t>
      </w:r>
      <w:r w:rsidRPr="00AB7F56">
        <w:t xml:space="preserve">) of nets washed with detergent or bleach compared to </w:t>
      </w:r>
      <w:r w:rsidR="00187DAA">
        <w:t>46</w:t>
      </w:r>
      <w:r w:rsidRPr="00AB7F56">
        <w:t>% (</w:t>
      </w:r>
      <w:r w:rsidR="00187DAA">
        <w:t>13</w:t>
      </w:r>
      <w:r w:rsidRPr="00AB7F56">
        <w:t>/28) in Lagdo</w:t>
      </w:r>
      <w:r w:rsidR="00A41729">
        <w:t>, a difference not statistically significant</w:t>
      </w:r>
      <w:r w:rsidRPr="00AB7F56">
        <w:t>.</w:t>
      </w:r>
    </w:p>
    <w:p w14:paraId="5966A924" w14:textId="25A5574E" w:rsidR="00AB7F56" w:rsidRPr="00AB7F56" w:rsidRDefault="00AB7F56" w:rsidP="00AB7F56">
      <w:pPr>
        <w:pStyle w:val="ListParagraph"/>
        <w:numPr>
          <w:ilvl w:val="0"/>
          <w:numId w:val="6"/>
        </w:numPr>
        <w:spacing w:after="0"/>
        <w:sectPr w:rsidR="00AB7F56" w:rsidRPr="00AB7F56" w:rsidSect="00AB7F56">
          <w:footerReference w:type="default" r:id="rId13"/>
          <w:pgSz w:w="12240" w:h="15840"/>
          <w:pgMar w:top="1440" w:right="1440" w:bottom="1440" w:left="1440" w:header="720" w:footer="720" w:gutter="0"/>
          <w:cols w:space="720"/>
        </w:sectPr>
      </w:pPr>
      <w:r w:rsidRPr="00AB7F56">
        <w:t xml:space="preserve">Drying nets on bushes or fences after washing can </w:t>
      </w:r>
      <w:r w:rsidR="00FD7795">
        <w:t xml:space="preserve">physically </w:t>
      </w:r>
      <w:r w:rsidRPr="00AB7F56">
        <w:t xml:space="preserve">damage ITNs. </w:t>
      </w:r>
      <w:r w:rsidR="00AA68A7">
        <w:t>T</w:t>
      </w:r>
      <w:r w:rsidR="00F0037F" w:rsidRPr="00F0037F">
        <w:t xml:space="preserve">his practice was not observed in </w:t>
      </w:r>
      <w:proofErr w:type="gramStart"/>
      <w:r w:rsidR="00F0037F" w:rsidRPr="00F0037F">
        <w:t xml:space="preserve">Pitoa, </w:t>
      </w:r>
      <w:r w:rsidR="00AA68A7">
        <w:t>and</w:t>
      </w:r>
      <w:proofErr w:type="gramEnd"/>
      <w:r w:rsidR="00F0037F" w:rsidRPr="00F0037F">
        <w:t xml:space="preserve"> was </w:t>
      </w:r>
      <w:r w:rsidR="00AA68A7">
        <w:t xml:space="preserve">only </w:t>
      </w:r>
      <w:r w:rsidR="00F0037F" w:rsidRPr="00F0037F">
        <w:t>reported for 11% (3/28) of</w:t>
      </w:r>
      <w:r w:rsidR="00574703">
        <w:t xml:space="preserve"> ever-washed</w:t>
      </w:r>
      <w:r w:rsidR="00F0037F" w:rsidRPr="00F0037F">
        <w:t xml:space="preserve"> nets </w:t>
      </w:r>
      <w:r w:rsidR="00574703">
        <w:t>in Lagdo</w:t>
      </w:r>
      <w:r w:rsidR="00F0037F" w:rsidRPr="00F0037F">
        <w:t>.</w:t>
      </w:r>
    </w:p>
    <w:p w14:paraId="2108A91F" w14:textId="16A5E84E" w:rsidR="00597571" w:rsidRDefault="00597571" w:rsidP="006E692F">
      <w:pPr>
        <w:jc w:val="center"/>
      </w:pPr>
      <w:r w:rsidRPr="00594589">
        <w:rPr>
          <w:rFonts w:ascii="Gill Sans" w:hAnsi="Gill Sans"/>
          <w:color w:val="1F4E79" w:themeColor="accent5" w:themeShade="80"/>
          <w:sz w:val="32"/>
          <w:szCs w:val="32"/>
        </w:rPr>
        <w:t xml:space="preserve">Bioassay and Chemical Results: </w:t>
      </w:r>
      <w:proofErr w:type="spellStart"/>
      <w:r>
        <w:rPr>
          <w:rFonts w:ascii="Gill Sans" w:hAnsi="Gill Sans"/>
          <w:color w:val="1F4E79" w:themeColor="accent5" w:themeShade="80"/>
          <w:sz w:val="32"/>
          <w:szCs w:val="32"/>
        </w:rPr>
        <w:t>Dura</w:t>
      </w:r>
      <w:r w:rsidR="00D47AA8">
        <w:rPr>
          <w:rFonts w:ascii="Gill Sans" w:hAnsi="Gill Sans"/>
          <w:color w:val="1F4E79" w:themeColor="accent5" w:themeShade="80"/>
          <w:sz w:val="32"/>
          <w:szCs w:val="32"/>
        </w:rPr>
        <w:t>N</w:t>
      </w:r>
      <w:r>
        <w:rPr>
          <w:rFonts w:ascii="Gill Sans" w:hAnsi="Gill Sans"/>
          <w:color w:val="1F4E79" w:themeColor="accent5" w:themeShade="80"/>
          <w:sz w:val="32"/>
          <w:szCs w:val="32"/>
        </w:rPr>
        <w:t>et</w:t>
      </w:r>
      <w:proofErr w:type="spellEnd"/>
      <w:r>
        <w:rPr>
          <w:rFonts w:ascii="Gill Sans" w:hAnsi="Gill Sans"/>
          <w:color w:val="1F4E79" w:themeColor="accent5" w:themeShade="80"/>
          <w:sz w:val="32"/>
          <w:szCs w:val="32"/>
        </w:rPr>
        <w:t>® Plus</w:t>
      </w:r>
    </w:p>
    <w:p w14:paraId="37D2EB3C" w14:textId="0B114E3A" w:rsidR="00597571" w:rsidRDefault="00597571" w:rsidP="00597571"/>
    <w:p w14:paraId="074617DF" w14:textId="1EE1D789" w:rsidR="00DA4232" w:rsidRDefault="004134BD" w:rsidP="00775A14">
      <w:pPr>
        <w:pStyle w:val="1-BodyText"/>
      </w:pPr>
      <w:r>
        <w:rPr>
          <w:noProof/>
        </w:rPr>
        <w:drawing>
          <wp:anchor distT="0" distB="0" distL="114300" distR="114300" simplePos="0" relativeHeight="251658246" behindDoc="0" locked="0" layoutInCell="1" allowOverlap="1" wp14:anchorId="417BF947" wp14:editId="4F923BB0">
            <wp:simplePos x="0" y="0"/>
            <wp:positionH relativeFrom="column">
              <wp:posOffset>447675</wp:posOffset>
            </wp:positionH>
            <wp:positionV relativeFrom="paragraph">
              <wp:posOffset>2505710</wp:posOffset>
            </wp:positionV>
            <wp:extent cx="3562350" cy="2591435"/>
            <wp:effectExtent l="0" t="0" r="0" b="0"/>
            <wp:wrapSquare wrapText="bothSides"/>
            <wp:docPr id="1071350625"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62350" cy="2591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3F45">
        <w:rPr>
          <w:noProof/>
        </w:rPr>
        <w:drawing>
          <wp:anchor distT="0" distB="0" distL="114300" distR="114300" simplePos="0" relativeHeight="251658249" behindDoc="0" locked="0" layoutInCell="1" allowOverlap="1" wp14:anchorId="3E88BC0D" wp14:editId="635F16A9">
            <wp:simplePos x="0" y="0"/>
            <wp:positionH relativeFrom="column">
              <wp:posOffset>4743450</wp:posOffset>
            </wp:positionH>
            <wp:positionV relativeFrom="paragraph">
              <wp:posOffset>2564765</wp:posOffset>
            </wp:positionV>
            <wp:extent cx="3362325" cy="2447290"/>
            <wp:effectExtent l="0" t="0" r="9525" b="0"/>
            <wp:wrapSquare wrapText="bothSides"/>
            <wp:docPr id="413299717"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62325" cy="2447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77B3">
        <w:t>World Health Organization (</w:t>
      </w:r>
      <w:r w:rsidR="009E0B89" w:rsidRPr="009F65DE">
        <w:t>WHO</w:t>
      </w:r>
      <w:r w:rsidR="00BB77B3">
        <w:t>)</w:t>
      </w:r>
      <w:r w:rsidR="009E0B89" w:rsidRPr="009F65DE">
        <w:t xml:space="preserve"> tube test results showed mortality of the </w:t>
      </w:r>
      <w:r w:rsidR="009E0B89" w:rsidRPr="00775A14">
        <w:t xml:space="preserve">An. gambiae </w:t>
      </w:r>
      <w:r w:rsidR="009E0B89" w:rsidRPr="009F65DE">
        <w:t xml:space="preserve">Kisumu colony to the diagnostic dose of alpha-cypermethrin (0.05%) was 100%. The colony mosquitoes were susceptible to chlorfenapyr, with </w:t>
      </w:r>
      <w:r w:rsidR="00BB77B3">
        <w:t xml:space="preserve">the Centers for Disease Control </w:t>
      </w:r>
      <w:r w:rsidR="003A55D7">
        <w:t xml:space="preserve">and Prevention </w:t>
      </w:r>
      <w:r w:rsidR="00BB77B3">
        <w:t>(</w:t>
      </w:r>
      <w:r w:rsidR="009E0B89" w:rsidRPr="009F65DE">
        <w:t>CDC</w:t>
      </w:r>
      <w:r w:rsidR="00BB77B3">
        <w:t>)</w:t>
      </w:r>
      <w:r w:rsidR="009E0B89" w:rsidRPr="009F65DE">
        <w:t xml:space="preserve"> bottle bioassays at 100 µg/bottle showing 100% mortality at 72 hours.</w:t>
      </w:r>
      <w:r w:rsidR="009E0B89">
        <w:t xml:space="preserve"> </w:t>
      </w:r>
      <w:r w:rsidR="00566B1F" w:rsidRPr="001E6A25">
        <w:t xml:space="preserve">The </w:t>
      </w:r>
      <w:sdt>
        <w:sdtPr>
          <w:tag w:val="goog_rdk_22"/>
          <w:id w:val="-1847234856"/>
        </w:sdtPr>
        <w:sdtContent/>
      </w:sdt>
      <w:r w:rsidR="00566B1F" w:rsidRPr="001E6A25">
        <w:t xml:space="preserve">wild strain collected at </w:t>
      </w:r>
      <w:r w:rsidR="00566B1F">
        <w:t xml:space="preserve">PMI’s sentinel site, </w:t>
      </w:r>
      <w:proofErr w:type="spellStart"/>
      <w:r w:rsidR="00566B1F" w:rsidRPr="001E6A25">
        <w:t>Monatele</w:t>
      </w:r>
      <w:proofErr w:type="spellEnd"/>
      <w:r w:rsidR="00566B1F">
        <w:t>,</w:t>
      </w:r>
      <w:r w:rsidR="00566B1F" w:rsidRPr="001E6A25">
        <w:t xml:space="preserve"> was composed of </w:t>
      </w:r>
      <w:r w:rsidR="00566B1F" w:rsidRPr="00775A14">
        <w:t>An. gambiae</w:t>
      </w:r>
      <w:r w:rsidR="00566B1F" w:rsidRPr="001E6A25">
        <w:t xml:space="preserve"> </w:t>
      </w:r>
      <w:proofErr w:type="spellStart"/>
      <w:r w:rsidR="00566B1F" w:rsidRPr="001E6A25">
        <w:t>s.s.</w:t>
      </w:r>
      <w:proofErr w:type="spellEnd"/>
      <w:r w:rsidR="00566B1F" w:rsidRPr="001E6A25">
        <w:t xml:space="preserve"> (96%) and </w:t>
      </w:r>
      <w:r w:rsidR="00566B1F" w:rsidRPr="00775A14">
        <w:t xml:space="preserve">An. </w:t>
      </w:r>
      <w:proofErr w:type="spellStart"/>
      <w:r w:rsidR="00566B1F" w:rsidRPr="00775A14">
        <w:t>coluzzii</w:t>
      </w:r>
      <w:proofErr w:type="spellEnd"/>
      <w:r w:rsidR="00566B1F" w:rsidRPr="001E6A25">
        <w:t xml:space="preserve"> (4%). </w:t>
      </w:r>
      <w:r w:rsidR="005D4782">
        <w:t>S</w:t>
      </w:r>
      <w:r w:rsidR="009E0B89" w:rsidRPr="009F65DE">
        <w:t xml:space="preserve">usceptibility testing confirmed resistance of the strain to alpha-cypermethrin alone using WHO tube test (14%). </w:t>
      </w:r>
      <w:bookmarkStart w:id="2" w:name="_Hlk216169996"/>
      <w:r w:rsidR="009E0B89" w:rsidRPr="009F65DE">
        <w:t xml:space="preserve">Pre-exposure to PBO-synergist before alpha-cypermethrin showed about </w:t>
      </w:r>
      <w:sdt>
        <w:sdtPr>
          <w:tag w:val="goog_rdk_23"/>
          <w:id w:val="1312988585"/>
        </w:sdtPr>
        <w:sdtContent>
          <w:r w:rsidR="009E0B89" w:rsidRPr="009F65DE">
            <w:t xml:space="preserve">a </w:t>
          </w:r>
        </w:sdtContent>
      </w:sdt>
      <w:r w:rsidR="009E0B89" w:rsidRPr="009F65DE">
        <w:t>47% increase in 24-hour mortality compared to alpha-cypermethrin alone</w:t>
      </w:r>
      <w:bookmarkEnd w:id="2"/>
      <w:r w:rsidR="009E0B89" w:rsidRPr="009F65DE">
        <w:t xml:space="preserve">. </w:t>
      </w:r>
      <w:bookmarkStart w:id="3" w:name="_Hlk216170032"/>
      <w:r w:rsidR="009E0B89" w:rsidRPr="009F65DE">
        <w:t xml:space="preserve">Testing with chlorfenapyr using CDC bottle bioassays at 100ug/bottle showed 72-hour mortality of </w:t>
      </w:r>
      <w:sdt>
        <w:sdtPr>
          <w:tag w:val="goog_rdk_24"/>
          <w:id w:val="-1001129997"/>
        </w:sdtPr>
        <w:sdtContent/>
      </w:sdt>
      <w:r w:rsidR="009E0B89" w:rsidRPr="009F65DE">
        <w:t>99%</w:t>
      </w:r>
      <w:bookmarkEnd w:id="3"/>
      <w:r w:rsidR="009E0B89" w:rsidRPr="009F65DE">
        <w:t>.</w:t>
      </w:r>
      <w:r w:rsidR="00D47AA8">
        <w:t xml:space="preserve"> </w:t>
      </w:r>
      <w:r w:rsidR="00BD4698">
        <w:t>T</w:t>
      </w:r>
      <w:r w:rsidR="0064447F" w:rsidRPr="0064447F">
        <w:t>he</w:t>
      </w:r>
      <w:r w:rsidR="00BD4698">
        <w:t xml:space="preserve"> endline</w:t>
      </w:r>
      <w:r w:rsidR="0064447F" w:rsidRPr="0064447F">
        <w:t xml:space="preserve"> 24-hour mortality of </w:t>
      </w:r>
      <w:proofErr w:type="spellStart"/>
      <w:r w:rsidR="0064447F" w:rsidRPr="0064447F">
        <w:t>DuraNet</w:t>
      </w:r>
      <w:proofErr w:type="spellEnd"/>
      <w:r w:rsidR="0064447F" w:rsidRPr="0064447F">
        <w:t>® Plus</w:t>
      </w:r>
      <w:r w:rsidR="001C1BB6">
        <w:t xml:space="preserve"> ITNs</w:t>
      </w:r>
      <w:r w:rsidR="0064447F" w:rsidRPr="0064447F">
        <w:t xml:space="preserve"> dropped to </w:t>
      </w:r>
      <w:r w:rsidR="0064447F" w:rsidRPr="009F65DE">
        <w:t>5.1%</w:t>
      </w:r>
      <w:r w:rsidR="0064447F" w:rsidRPr="0064447F">
        <w:t xml:space="preserve">, compared with </w:t>
      </w:r>
      <w:r w:rsidR="0064447F" w:rsidRPr="009F65DE">
        <w:t>16.4% at 24 months</w:t>
      </w:r>
      <w:r w:rsidR="0064447F" w:rsidRPr="0064447F">
        <w:t xml:space="preserve">, </w:t>
      </w:r>
      <w:r w:rsidR="0064447F" w:rsidRPr="009F65DE">
        <w:t>24.2% at 12 months</w:t>
      </w:r>
      <w:r w:rsidR="0064447F" w:rsidRPr="0064447F">
        <w:t xml:space="preserve">, and </w:t>
      </w:r>
      <w:r w:rsidR="0064447F" w:rsidRPr="009F65DE">
        <w:t>26.7% at the pre-distribution timepoint</w:t>
      </w:r>
      <w:r w:rsidR="0064447F" w:rsidRPr="0064447F">
        <w:t xml:space="preserve"> </w:t>
      </w:r>
      <w:r w:rsidR="0064447F">
        <w:t xml:space="preserve">when tested </w:t>
      </w:r>
      <w:r w:rsidR="0064447F" w:rsidRPr="0064447F">
        <w:t>against resistant strain. Th</w:t>
      </w:r>
      <w:r w:rsidR="0064447F">
        <w:t>e reduction in</w:t>
      </w:r>
      <w:r w:rsidR="0064447F" w:rsidRPr="0064447F">
        <w:t xml:space="preserve"> </w:t>
      </w:r>
      <w:r w:rsidR="0064447F">
        <w:t xml:space="preserve">24-hour </w:t>
      </w:r>
      <w:r w:rsidR="0064447F" w:rsidRPr="0064447F">
        <w:t xml:space="preserve">mortality is consistent with the substantial decline in PBO content over time, with </w:t>
      </w:r>
      <w:r w:rsidR="0064447F" w:rsidRPr="009F65DE">
        <w:t>82% loss (0.4 g/kg) at 36 months</w:t>
      </w:r>
      <w:r w:rsidR="001C1BB6">
        <w:t xml:space="preserve"> </w:t>
      </w:r>
      <w:r w:rsidR="0064447F" w:rsidRPr="0064447F">
        <w:t xml:space="preserve">compared with the manufacturer’s recommended dose of </w:t>
      </w:r>
      <w:r w:rsidR="0064447F" w:rsidRPr="009F65DE">
        <w:t>2.2 g/kg</w:t>
      </w:r>
      <w:r w:rsidR="0064447F" w:rsidRPr="0064447F">
        <w:t>.</w:t>
      </w:r>
      <w:r w:rsidR="00762A7D">
        <w:t xml:space="preserve"> </w:t>
      </w:r>
      <w:r w:rsidR="00A223D1">
        <w:t>All endline</w:t>
      </w:r>
      <w:r w:rsidR="00762A7D" w:rsidRPr="00762A7D">
        <w:t xml:space="preserve"> ITN samples were below the lower limit of the manufacturer</w:t>
      </w:r>
      <w:r w:rsidR="004933F3">
        <w:t xml:space="preserve"> </w:t>
      </w:r>
      <w:r w:rsidR="00762A7D" w:rsidRPr="00762A7D">
        <w:t xml:space="preserve">specified range </w:t>
      </w:r>
      <w:r w:rsidR="00421056">
        <w:t xml:space="preserve">of </w:t>
      </w:r>
      <w:r w:rsidR="00762A7D" w:rsidRPr="00762A7D">
        <w:t>2.2 g/kg</w:t>
      </w:r>
      <w:r w:rsidR="00DC3F16">
        <w:t xml:space="preserve"> +/- 20%</w:t>
      </w:r>
      <w:r w:rsidR="00762A7D">
        <w:t xml:space="preserve">. </w:t>
      </w:r>
    </w:p>
    <w:p w14:paraId="2A3F7849" w14:textId="00232B8D" w:rsidR="00597571" w:rsidRDefault="005E70C3" w:rsidP="004134BD">
      <w:pPr>
        <w:jc w:val="center"/>
        <w:rPr>
          <w:rFonts w:ascii="Gill Sans" w:hAnsi="Gill Sans"/>
          <w:color w:val="1F4E79" w:themeColor="accent5" w:themeShade="80"/>
          <w:sz w:val="32"/>
          <w:szCs w:val="32"/>
        </w:rPr>
      </w:pPr>
      <w:r w:rsidRPr="0003079D">
        <w:rPr>
          <w:rFonts w:ascii="Gill Sans Nova Light" w:hAnsi="Gill Sans Nova Light"/>
          <w:noProof/>
        </w:rPr>
        <mc:AlternateContent>
          <mc:Choice Requires="wps">
            <w:drawing>
              <wp:anchor distT="45720" distB="45720" distL="114300" distR="114300" simplePos="0" relativeHeight="251658253" behindDoc="0" locked="0" layoutInCell="1" hidden="0" allowOverlap="1" wp14:anchorId="500FEB45" wp14:editId="76F78315">
                <wp:simplePos x="0" y="0"/>
                <wp:positionH relativeFrom="margin">
                  <wp:posOffset>4602480</wp:posOffset>
                </wp:positionH>
                <wp:positionV relativeFrom="paragraph">
                  <wp:posOffset>83820</wp:posOffset>
                </wp:positionV>
                <wp:extent cx="3562350" cy="501015"/>
                <wp:effectExtent l="0" t="0" r="19050" b="13335"/>
                <wp:wrapSquare wrapText="bothSides"/>
                <wp:docPr id="41" name="Rectangle 41"/>
                <wp:cNvGraphicFramePr/>
                <a:graphic xmlns:a="http://schemas.openxmlformats.org/drawingml/2006/main">
                  <a:graphicData uri="http://schemas.microsoft.com/office/word/2010/wordprocessingShape">
                    <wps:wsp>
                      <wps:cNvSpPr/>
                      <wps:spPr>
                        <a:xfrm>
                          <a:off x="0" y="0"/>
                          <a:ext cx="3562350" cy="50101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00F38C16" w14:textId="222A1BA1" w:rsidR="003C0AEF" w:rsidRDefault="003C0AEF" w:rsidP="003C0AEF">
                            <w:pPr>
                              <w:pStyle w:val="1-BodyTextBoldCentered"/>
                            </w:pPr>
                            <w:r>
                              <w:t xml:space="preserve">Alpha-cypermethrin content and PBO content from Pitoa District, Cameroon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00FEB45" id="Rectangle 41" o:spid="_x0000_s1026" style="position:absolute;left:0;text-align:left;margin-left:362.4pt;margin-top:6.6pt;width:280.5pt;height:39.45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" strokecolor="white">
                <v:stroke startarrowwidth="narrow" startarrowlength="short" endarrowwidth="narrow" endarrowlength="short"/>
                <v:textbox inset="2.53958mm,1.2694mm,2.53958mm,1.2694mm">
                  <w:txbxContent>
                    <w:p w14:paraId="00F38C16" w14:textId="222A1BA1" w:rsidR="003C0AEF" w:rsidRDefault="003C0AEF" w:rsidP="003C0AEF">
                      <w:pPr>
                        <w:pStyle w:val="1-BodyTextBoldCentered"/>
                      </w:pPr>
                      <w:r>
                        <w:t xml:space="preserve">Alpha-cypermethrin content and PBO content from </w:t>
                      </w:r>
                      <w:proofErr w:type="spellStart"/>
                      <w:r>
                        <w:t>Pitoa</w:t>
                      </w:r>
                      <w:proofErr w:type="spellEnd"/>
                      <w:r>
                        <w:t xml:space="preserve"> District, Cameroon </w:t>
                      </w:r>
                    </w:p>
                  </w:txbxContent>
                </v:textbox>
                <w10:wrap type="square" anchorx="margin"/>
              </v:rect>
            </w:pict>
          </mc:Fallback>
        </mc:AlternateContent>
      </w:r>
      <w:r w:rsidR="00F2711F" w:rsidRPr="0003079D">
        <w:rPr>
          <w:rFonts w:ascii="Gill Sans Nova Light" w:hAnsi="Gill Sans Nova Light"/>
          <w:noProof/>
        </w:rPr>
        <mc:AlternateContent>
          <mc:Choice Requires="wps">
            <w:drawing>
              <wp:anchor distT="45720" distB="45720" distL="114300" distR="114300" simplePos="0" relativeHeight="251658251" behindDoc="0" locked="0" layoutInCell="1" hidden="0" allowOverlap="1" wp14:anchorId="0F9AB3EC" wp14:editId="5A8412CF">
                <wp:simplePos x="0" y="0"/>
                <wp:positionH relativeFrom="column">
                  <wp:posOffset>4838700</wp:posOffset>
                </wp:positionH>
                <wp:positionV relativeFrom="paragraph">
                  <wp:posOffset>2957195</wp:posOffset>
                </wp:positionV>
                <wp:extent cx="3200400" cy="571500"/>
                <wp:effectExtent l="0" t="0" r="19050" b="19050"/>
                <wp:wrapSquare wrapText="bothSides"/>
                <wp:docPr id="39" name="Rectangle 39"/>
                <wp:cNvGraphicFramePr/>
                <a:graphic xmlns:a="http://schemas.openxmlformats.org/drawingml/2006/main">
                  <a:graphicData uri="http://schemas.microsoft.com/office/word/2010/wordprocessingShape">
                    <wps:wsp>
                      <wps:cNvSpPr/>
                      <wps:spPr>
                        <a:xfrm>
                          <a:off x="0" y="0"/>
                          <a:ext cx="3200400" cy="5715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0C57D73F" w14:textId="77777777" w:rsidR="003C0AEF" w:rsidRPr="0003079D" w:rsidRDefault="003C0AEF" w:rsidP="003C0AEF">
                            <w:pPr>
                              <w:pStyle w:val="1-BodyTextItalics"/>
                              <w:rPr>
                                <w:sz w:val="16"/>
                                <w:szCs w:val="16"/>
                              </w:rPr>
                            </w:pPr>
                            <w:r w:rsidRPr="0003079D">
                              <w:rPr>
                                <w:sz w:val="16"/>
                                <w:szCs w:val="16"/>
                              </w:rPr>
                              <w:t>Box plot shows the median (horizontal line), interquartile range (box), adjacent values (whiskers), outliers (circles), and for each legend, bold line dashes specify manufacturer threshold (with fine line dashes indicating acceptable range).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9AB3EC" id="Rectangle 39" o:spid="_x0000_s1027" style="position:absolute;left:0;text-align:left;margin-left:381pt;margin-top:232.85pt;width:252pt;height:4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" strokecolor="white">
                <v:stroke startarrowwidth="narrow" startarrowlength="short" endarrowwidth="narrow" endarrowlength="short"/>
                <v:textbox inset="2.53958mm,1.2694mm,2.53958mm,1.2694mm">
                  <w:txbxContent>
                    <w:p w14:paraId="0C57D73F" w14:textId="77777777" w:rsidR="003C0AEF" w:rsidRPr="0003079D" w:rsidRDefault="003C0AEF" w:rsidP="003C0AEF">
                      <w:pPr>
                        <w:pStyle w:val="1-BodyTextItalics"/>
                        <w:rPr>
                          <w:sz w:val="16"/>
                          <w:szCs w:val="16"/>
                        </w:rPr>
                      </w:pPr>
                      <w:r w:rsidRPr="0003079D">
                        <w:rPr>
                          <w:sz w:val="16"/>
                          <w:szCs w:val="16"/>
                        </w:rPr>
                        <w:t>Box plot shows the median (horizontal line), interquartile range (box), adjacent values (whiskers), outliers (circles), and for each legend, bold line dashes specify manufacturer threshold (with fine line dashes indicating acceptable range).</w:t>
                      </w:r>
                    </w:p>
                  </w:txbxContent>
                </v:textbox>
                <w10:wrap type="square"/>
              </v:rect>
            </w:pict>
          </mc:Fallback>
        </mc:AlternateContent>
      </w:r>
      <w:r w:rsidR="004134BD" w:rsidRPr="0003079D">
        <w:rPr>
          <w:rFonts w:ascii="Gill Sans Nova Light" w:hAnsi="Gill Sans Nova Light"/>
          <w:noProof/>
        </w:rPr>
        <mc:AlternateContent>
          <mc:Choice Requires="wps">
            <w:drawing>
              <wp:anchor distT="45720" distB="45720" distL="114300" distR="114300" simplePos="0" relativeHeight="251658250" behindDoc="0" locked="0" layoutInCell="1" hidden="0" allowOverlap="1" wp14:anchorId="320AC39C" wp14:editId="6CD674FE">
                <wp:simplePos x="0" y="0"/>
                <wp:positionH relativeFrom="margin">
                  <wp:posOffset>447675</wp:posOffset>
                </wp:positionH>
                <wp:positionV relativeFrom="paragraph">
                  <wp:posOffset>3033395</wp:posOffset>
                </wp:positionV>
                <wp:extent cx="3562350" cy="487045"/>
                <wp:effectExtent l="0" t="0" r="19050" b="27305"/>
                <wp:wrapSquare wrapText="bothSides"/>
                <wp:docPr id="42" name="Rectangle 42"/>
                <wp:cNvGraphicFramePr/>
                <a:graphic xmlns:a="http://schemas.openxmlformats.org/drawingml/2006/main">
                  <a:graphicData uri="http://schemas.microsoft.com/office/word/2010/wordprocessingShape">
                    <wps:wsp>
                      <wps:cNvSpPr/>
                      <wps:spPr>
                        <a:xfrm>
                          <a:off x="0" y="0"/>
                          <a:ext cx="3562350" cy="48704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7F5C2080" w14:textId="77777777" w:rsidR="003C0AEF" w:rsidRPr="0003079D" w:rsidRDefault="003C0AEF" w:rsidP="003C0AEF">
                            <w:pPr>
                              <w:pStyle w:val="1-BodyTextItalics"/>
                              <w:rPr>
                                <w:sz w:val="16"/>
                                <w:szCs w:val="16"/>
                              </w:rPr>
                            </w:pPr>
                            <w:r w:rsidRPr="0003079D">
                              <w:rPr>
                                <w:sz w:val="16"/>
                                <w:szCs w:val="16"/>
                              </w:rPr>
                              <w:t>Box plot shows the median (horizontal line), interquartile range (box), adjacent values (whiskers), outliers (circles), and for each legend, red dashed line represents WHO optimal effectiveness thresholds for mortality 80%.</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20AC39C" id="Rectangle 42" o:spid="_x0000_s1028" style="position:absolute;left:0;text-align:left;margin-left:35.25pt;margin-top:238.85pt;width:280.5pt;height:38.35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" strokecolor="white">
                <v:stroke startarrowwidth="narrow" startarrowlength="short" endarrowwidth="narrow" endarrowlength="short"/>
                <v:textbox inset="2.53958mm,1.2694mm,2.53958mm,1.2694mm">
                  <w:txbxContent>
                    <w:p w14:paraId="7F5C2080" w14:textId="77777777" w:rsidR="003C0AEF" w:rsidRPr="0003079D" w:rsidRDefault="003C0AEF" w:rsidP="003C0AEF">
                      <w:pPr>
                        <w:pStyle w:val="1-BodyTextItalics"/>
                        <w:rPr>
                          <w:sz w:val="16"/>
                          <w:szCs w:val="16"/>
                        </w:rPr>
                      </w:pPr>
                      <w:r w:rsidRPr="0003079D">
                        <w:rPr>
                          <w:sz w:val="16"/>
                          <w:szCs w:val="16"/>
                        </w:rPr>
                        <w:t>Box plot shows the median (horizontal line), interquartile range (box), adjacent values (whiskers), outliers (circles), and for each legend, red dashed line represents WHO optimal effectiveness thresholds for mortality 80%.</w:t>
                      </w:r>
                    </w:p>
                  </w:txbxContent>
                </v:textbox>
                <w10:wrap type="square" anchorx="margin"/>
              </v:rect>
            </w:pict>
          </mc:Fallback>
        </mc:AlternateContent>
      </w:r>
      <w:r w:rsidR="006E3F45" w:rsidRPr="003C0AEF">
        <w:rPr>
          <w:rFonts w:ascii="Gill Sans Nova Light" w:hAnsi="Gill Sans Nova Light"/>
          <w:noProof/>
        </w:rPr>
        <mc:AlternateContent>
          <mc:Choice Requires="wps">
            <w:drawing>
              <wp:anchor distT="0" distB="0" distL="114300" distR="114300" simplePos="0" relativeHeight="251658252" behindDoc="0" locked="0" layoutInCell="1" allowOverlap="1" wp14:anchorId="1B41F8D7" wp14:editId="32442CB2">
                <wp:simplePos x="0" y="0"/>
                <wp:positionH relativeFrom="margin">
                  <wp:posOffset>-59055</wp:posOffset>
                </wp:positionH>
                <wp:positionV relativeFrom="paragraph">
                  <wp:posOffset>72390</wp:posOffset>
                </wp:positionV>
                <wp:extent cx="4667250" cy="504825"/>
                <wp:effectExtent l="0" t="0" r="19050" b="28575"/>
                <wp:wrapSquare wrapText="bothSides"/>
                <wp:docPr id="814919857" name="Rectangle 814919857"/>
                <wp:cNvGraphicFramePr/>
                <a:graphic xmlns:a="http://schemas.openxmlformats.org/drawingml/2006/main">
                  <a:graphicData uri="http://schemas.microsoft.com/office/word/2010/wordprocessingShape">
                    <wps:wsp>
                      <wps:cNvSpPr/>
                      <wps:spPr>
                        <a:xfrm>
                          <a:off x="0" y="0"/>
                          <a:ext cx="4667250" cy="50482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2EB92DD6" w14:textId="3355C70B" w:rsidR="003C0AEF" w:rsidRDefault="003C0AEF" w:rsidP="003C0AEF">
                            <w:pPr>
                              <w:pStyle w:val="1-BodyTextBoldCentered"/>
                            </w:pPr>
                            <w:r>
                              <w:t xml:space="preserve">24-hour mortality for field/new DuraNet® Plus brand ITNs taken from Pitoa District, Cameroon against resistant </w:t>
                            </w:r>
                            <w:r>
                              <w:rPr>
                                <w:i/>
                              </w:rPr>
                              <w:t>An. gambiae</w:t>
                            </w:r>
                            <w:r>
                              <w:t xml:space="preserve"> Monatele mosquitos</w:t>
                            </w:r>
                          </w:p>
                        </w:txbxContent>
                      </wps:txbx>
                      <wps:bodyPr spcFirstLastPara="1" wrap="square" lIns="91425" tIns="45700" rIns="91425" bIns="45700" anchor="t" anchorCtr="0">
                        <a:noAutofit/>
                      </wps:bodyPr>
                    </wps:wsp>
                  </a:graphicData>
                </a:graphic>
              </wp:anchor>
            </w:drawing>
          </mc:Choice>
          <mc:Fallback>
            <w:pict>
              <v:rect w14:anchorId="1B41F8D7" id="Rectangle 814919857" o:spid="_x0000_s1029" style="position:absolute;left:0;text-align:left;margin-left:-4.65pt;margin-top:5.7pt;width:367.5pt;height:39.75pt;z-index:2516582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" strokecolor="white">
                <v:stroke startarrowwidth="narrow" startarrowlength="short" endarrowwidth="narrow" endarrowlength="short"/>
                <v:textbox inset="2.53958mm,1.2694mm,2.53958mm,1.2694mm">
                  <w:txbxContent>
                    <w:p w14:paraId="2EB92DD6" w14:textId="3355C70B" w:rsidR="003C0AEF" w:rsidRDefault="003C0AEF" w:rsidP="003C0AEF">
                      <w:pPr>
                        <w:pStyle w:val="1-BodyTextBoldCentered"/>
                      </w:pPr>
                      <w:r>
                        <w:t xml:space="preserve">24-hour mortality for field/new </w:t>
                      </w:r>
                      <w:proofErr w:type="spellStart"/>
                      <w:r>
                        <w:t>DuraNet</w:t>
                      </w:r>
                      <w:proofErr w:type="spellEnd"/>
                      <w:r>
                        <w:t xml:space="preserve">® Plus brand ITNs taken from </w:t>
                      </w:r>
                      <w:proofErr w:type="spellStart"/>
                      <w:r>
                        <w:t>Pitoa</w:t>
                      </w:r>
                      <w:proofErr w:type="spellEnd"/>
                      <w:r>
                        <w:t xml:space="preserve"> District, Cameroon against resistant </w:t>
                      </w:r>
                      <w:r>
                        <w:rPr>
                          <w:i/>
                        </w:rPr>
                        <w:t>An. gambiae</w:t>
                      </w:r>
                      <w:r>
                        <w:t xml:space="preserve"> </w:t>
                      </w:r>
                      <w:proofErr w:type="spellStart"/>
                      <w:r>
                        <w:t>Monatele</w:t>
                      </w:r>
                      <w:proofErr w:type="spellEnd"/>
                      <w:r>
                        <w:t xml:space="preserve"> mosquitos</w:t>
                      </w:r>
                    </w:p>
                  </w:txbxContent>
                </v:textbox>
                <w10:wrap type="square" anchorx="margin"/>
              </v:rect>
            </w:pict>
          </mc:Fallback>
        </mc:AlternateContent>
      </w:r>
      <w:r w:rsidR="00DA4232">
        <w:rPr>
          <w:rFonts w:ascii="Gill Sans" w:hAnsi="Gill Sans"/>
          <w:color w:val="1F4E79" w:themeColor="accent5" w:themeShade="80"/>
          <w:sz w:val="32"/>
          <w:szCs w:val="32"/>
        </w:rPr>
        <w:br w:type="page"/>
      </w:r>
      <w:r w:rsidR="00597571" w:rsidRPr="00594589">
        <w:rPr>
          <w:rFonts w:ascii="Gill Sans" w:hAnsi="Gill Sans"/>
          <w:color w:val="1F4E79" w:themeColor="accent5" w:themeShade="80"/>
          <w:sz w:val="32"/>
          <w:szCs w:val="32"/>
        </w:rPr>
        <w:t xml:space="preserve">Bioassay and Chemical Results: </w:t>
      </w:r>
      <w:r w:rsidR="00597571">
        <w:rPr>
          <w:rFonts w:ascii="Gill Sans" w:hAnsi="Gill Sans"/>
          <w:color w:val="1F4E79" w:themeColor="accent5" w:themeShade="80"/>
          <w:sz w:val="32"/>
          <w:szCs w:val="32"/>
        </w:rPr>
        <w:t xml:space="preserve">Interceptor® </w:t>
      </w:r>
      <w:r w:rsidR="00E546BA">
        <w:rPr>
          <w:rFonts w:ascii="Gill Sans" w:hAnsi="Gill Sans"/>
          <w:color w:val="1F4E79" w:themeColor="accent5" w:themeShade="80"/>
          <w:sz w:val="32"/>
          <w:szCs w:val="32"/>
        </w:rPr>
        <w:t>I</w:t>
      </w:r>
      <w:r w:rsidR="00597571">
        <w:rPr>
          <w:rFonts w:ascii="Gill Sans" w:hAnsi="Gill Sans"/>
          <w:color w:val="1F4E79" w:themeColor="accent5" w:themeShade="80"/>
          <w:sz w:val="32"/>
          <w:szCs w:val="32"/>
        </w:rPr>
        <w:t>G2</w:t>
      </w:r>
    </w:p>
    <w:p w14:paraId="68F7EE6C" w14:textId="77777777" w:rsidR="00597571" w:rsidRDefault="00597571" w:rsidP="00597571"/>
    <w:p w14:paraId="1405554F" w14:textId="13DB7F1A" w:rsidR="003D79E7" w:rsidRPr="00775A14" w:rsidRDefault="008B32D7" w:rsidP="003D79E7">
      <w:pPr>
        <w:rPr>
          <w:rFonts w:ascii="Gill Sans Nova Light" w:eastAsiaTheme="minorHAnsi" w:hAnsi="Gill Sans Nova Light" w:cstheme="minorBidi"/>
          <w:sz w:val="22"/>
          <w:szCs w:val="22"/>
        </w:rPr>
      </w:pPr>
      <w:r w:rsidRPr="00775A14">
        <w:rPr>
          <w:rFonts w:ascii="Gill Sans Nova Light" w:eastAsiaTheme="minorHAnsi" w:hAnsi="Gill Sans Nova Light" w:cstheme="minorBidi"/>
          <w:noProof/>
          <w:sz w:val="22"/>
          <w:szCs w:val="22"/>
        </w:rPr>
        <mc:AlternateContent>
          <mc:Choice Requires="wps">
            <w:drawing>
              <wp:anchor distT="45720" distB="45720" distL="114300" distR="114300" simplePos="0" relativeHeight="251658245" behindDoc="0" locked="0" layoutInCell="1" hidden="0" allowOverlap="1" wp14:anchorId="19FB1FE4" wp14:editId="5F057A3E">
                <wp:simplePos x="0" y="0"/>
                <wp:positionH relativeFrom="margin">
                  <wp:posOffset>4352925</wp:posOffset>
                </wp:positionH>
                <wp:positionV relativeFrom="paragraph">
                  <wp:posOffset>1689735</wp:posOffset>
                </wp:positionV>
                <wp:extent cx="3792855" cy="524510"/>
                <wp:effectExtent l="0" t="0" r="17145" b="27940"/>
                <wp:wrapSquare wrapText="bothSides"/>
                <wp:docPr id="44" name="Rectangle 44"/>
                <wp:cNvGraphicFramePr/>
                <a:graphic xmlns:a="http://schemas.openxmlformats.org/drawingml/2006/main">
                  <a:graphicData uri="http://schemas.microsoft.com/office/word/2010/wordprocessingShape">
                    <wps:wsp>
                      <wps:cNvSpPr/>
                      <wps:spPr>
                        <a:xfrm>
                          <a:off x="0" y="0"/>
                          <a:ext cx="3792855" cy="52451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66402FB6" w14:textId="5CBB2704" w:rsidR="00A64567" w:rsidRDefault="00A64567" w:rsidP="00A64567">
                            <w:pPr>
                              <w:pStyle w:val="1-BodyTextBoldCentered"/>
                            </w:pPr>
                            <w:r>
                              <w:t xml:space="preserve">Alpha-cypermethrin and chlorfenapyr content of Interceptor® G2 brand ITNs from Lagdo District, Cameroon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9FB1FE4" id="Rectangle 44" o:spid="_x0000_s1030" style="position:absolute;margin-left:342.75pt;margin-top:133.05pt;width:298.65pt;height:41.3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" strokecolor="white">
                <v:stroke startarrowwidth="narrow" startarrowlength="short" endarrowwidth="narrow" endarrowlength="short"/>
                <v:textbox inset="2.53958mm,1.2694mm,2.53958mm,1.2694mm">
                  <w:txbxContent>
                    <w:p w14:paraId="66402FB6" w14:textId="5CBB2704" w:rsidR="00A64567" w:rsidRDefault="00A64567" w:rsidP="00A64567">
                      <w:pPr>
                        <w:pStyle w:val="1-BodyTextBoldCentered"/>
                      </w:pPr>
                      <w:r>
                        <w:t xml:space="preserve">Alpha-cypermethrin and chlorfenapyr content of Interceptor® G2 brand ITNs from </w:t>
                      </w:r>
                      <w:proofErr w:type="spellStart"/>
                      <w:r>
                        <w:t>Lagdo</w:t>
                      </w:r>
                      <w:proofErr w:type="spellEnd"/>
                      <w:r>
                        <w:t xml:space="preserve"> District, Cameroon </w:t>
                      </w:r>
                    </w:p>
                  </w:txbxContent>
                </v:textbox>
                <w10:wrap type="square" anchorx="margin"/>
              </v:rect>
            </w:pict>
          </mc:Fallback>
        </mc:AlternateContent>
      </w:r>
      <w:r w:rsidRPr="00775A14">
        <w:rPr>
          <w:rFonts w:ascii="Gill Sans Nova Light" w:eastAsiaTheme="minorHAnsi" w:hAnsi="Gill Sans Nova Light" w:cstheme="minorBidi"/>
          <w:noProof/>
          <w:sz w:val="22"/>
          <w:szCs w:val="22"/>
        </w:rPr>
        <mc:AlternateContent>
          <mc:Choice Requires="wps">
            <w:drawing>
              <wp:anchor distT="0" distB="0" distL="114300" distR="114300" simplePos="0" relativeHeight="251658244" behindDoc="0" locked="0" layoutInCell="1" allowOverlap="1" wp14:anchorId="7A4DDC2C" wp14:editId="478700B8">
                <wp:simplePos x="0" y="0"/>
                <wp:positionH relativeFrom="margin">
                  <wp:posOffset>-153035</wp:posOffset>
                </wp:positionH>
                <wp:positionV relativeFrom="paragraph">
                  <wp:posOffset>1629410</wp:posOffset>
                </wp:positionV>
                <wp:extent cx="4279900" cy="660400"/>
                <wp:effectExtent l="0" t="0" r="25400" b="25400"/>
                <wp:wrapSquare wrapText="bothSides"/>
                <wp:docPr id="36" name="Rectangle 36"/>
                <wp:cNvGraphicFramePr/>
                <a:graphic xmlns:a="http://schemas.openxmlformats.org/drawingml/2006/main">
                  <a:graphicData uri="http://schemas.microsoft.com/office/word/2010/wordprocessingShape">
                    <wps:wsp>
                      <wps:cNvSpPr/>
                      <wps:spPr>
                        <a:xfrm>
                          <a:off x="0" y="0"/>
                          <a:ext cx="4279900" cy="6604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5FDC6316" w14:textId="51EC6D53" w:rsidR="00A64567" w:rsidRDefault="00A64567" w:rsidP="0003079D">
                            <w:pPr>
                              <w:pStyle w:val="1-BodyTextBoldCentered"/>
                              <w:jc w:val="left"/>
                            </w:pPr>
                            <w:r>
                              <w:t xml:space="preserve">72-hour mortality for field/new Interceptor® G2 ITN brand samples taken from Lagdo District, Cameroon against resistant </w:t>
                            </w:r>
                            <w:r>
                              <w:rPr>
                                <w:i/>
                              </w:rPr>
                              <w:t>An. gambiae</w:t>
                            </w:r>
                            <w:r>
                              <w:t xml:space="preserve"> Monatele mosquitos</w:t>
                            </w:r>
                            <w:r w:rsidDel="00A64567">
                              <w:t xml:space="preserve"> </w:t>
                            </w:r>
                          </w:p>
                        </w:txbxContent>
                      </wps:txbx>
                      <wps:bodyPr spcFirstLastPara="1" wrap="square" lIns="91425" tIns="45700" rIns="91425" bIns="45700" anchor="t" anchorCtr="0">
                        <a:noAutofit/>
                      </wps:bodyPr>
                    </wps:wsp>
                  </a:graphicData>
                </a:graphic>
              </wp:anchor>
            </w:drawing>
          </mc:Choice>
          <mc:Fallback>
            <w:pict>
              <v:rect w14:anchorId="7A4DDC2C" id="Rectangle 36" o:spid="_x0000_s1031" style="position:absolute;margin-left:-12.05pt;margin-top:128.3pt;width:337pt;height:5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" strokecolor="white">
                <v:stroke startarrowwidth="narrow" startarrowlength="short" endarrowwidth="narrow" endarrowlength="short"/>
                <v:textbox inset="2.53958mm,1.2694mm,2.53958mm,1.2694mm">
                  <w:txbxContent>
                    <w:p w14:paraId="5FDC6316" w14:textId="51EC6D53" w:rsidR="00A64567" w:rsidRDefault="00A64567" w:rsidP="0003079D">
                      <w:pPr>
                        <w:pStyle w:val="1-BodyTextBoldCentered"/>
                        <w:jc w:val="left"/>
                      </w:pPr>
                      <w:r>
                        <w:t xml:space="preserve">72-hour mortality for field/new Interceptor® G2 ITN brand samples taken from </w:t>
                      </w:r>
                      <w:proofErr w:type="spellStart"/>
                      <w:r>
                        <w:t>Lagdo</w:t>
                      </w:r>
                      <w:proofErr w:type="spellEnd"/>
                      <w:r>
                        <w:t xml:space="preserve"> District, Cameroon against resistant </w:t>
                      </w:r>
                      <w:r>
                        <w:rPr>
                          <w:i/>
                        </w:rPr>
                        <w:t>An. gambiae</w:t>
                      </w:r>
                      <w:r>
                        <w:t xml:space="preserve"> </w:t>
                      </w:r>
                      <w:proofErr w:type="spellStart"/>
                      <w:r>
                        <w:t>Monatele</w:t>
                      </w:r>
                      <w:proofErr w:type="spellEnd"/>
                      <w:r>
                        <w:t xml:space="preserve"> mosquitos</w:t>
                      </w:r>
                      <w:r w:rsidDel="00A64567">
                        <w:t xml:space="preserve"> </w:t>
                      </w:r>
                    </w:p>
                  </w:txbxContent>
                </v:textbox>
                <w10:wrap type="square" anchorx="margin"/>
              </v:rect>
            </w:pict>
          </mc:Fallback>
        </mc:AlternateContent>
      </w:r>
      <w:r w:rsidR="00683D48" w:rsidRPr="00775A14">
        <w:rPr>
          <w:rFonts w:ascii="Gill Sans Nova Light" w:eastAsiaTheme="minorHAnsi" w:hAnsi="Gill Sans Nova Light" w:cstheme="minorBidi"/>
          <w:sz w:val="22"/>
          <w:szCs w:val="22"/>
        </w:rPr>
        <w:t xml:space="preserve">The same colony was used to test the </w:t>
      </w:r>
      <w:r w:rsidR="00AE6591" w:rsidRPr="00775A14">
        <w:rPr>
          <w:rFonts w:ascii="Gill Sans Nova Light" w:eastAsiaTheme="minorHAnsi" w:hAnsi="Gill Sans Nova Light" w:cstheme="minorBidi"/>
          <w:sz w:val="22"/>
          <w:szCs w:val="22"/>
        </w:rPr>
        <w:t>I</w:t>
      </w:r>
      <w:r w:rsidR="00683D48" w:rsidRPr="00775A14">
        <w:rPr>
          <w:rFonts w:ascii="Gill Sans Nova Light" w:eastAsiaTheme="minorHAnsi" w:hAnsi="Gill Sans Nova Light" w:cstheme="minorBidi"/>
          <w:sz w:val="22"/>
          <w:szCs w:val="22"/>
        </w:rPr>
        <w:t xml:space="preserve">G2 ITNs (see characterization data presented above in the </w:t>
      </w:r>
      <w:proofErr w:type="spellStart"/>
      <w:r w:rsidR="00683D48" w:rsidRPr="00775A14">
        <w:rPr>
          <w:rFonts w:ascii="Gill Sans Nova Light" w:eastAsiaTheme="minorHAnsi" w:hAnsi="Gill Sans Nova Light" w:cstheme="minorBidi"/>
          <w:sz w:val="22"/>
          <w:szCs w:val="22"/>
        </w:rPr>
        <w:t>DuraNet</w:t>
      </w:r>
      <w:proofErr w:type="spellEnd"/>
      <w:r w:rsidR="00683D48" w:rsidRPr="00775A14">
        <w:rPr>
          <w:rFonts w:ascii="Gill Sans Nova Light" w:eastAsiaTheme="minorHAnsi" w:hAnsi="Gill Sans Nova Light" w:cstheme="minorBidi"/>
          <w:sz w:val="22"/>
          <w:szCs w:val="22"/>
        </w:rPr>
        <w:t>® Plus results section).</w:t>
      </w:r>
      <w:r w:rsidR="00DA21B9" w:rsidRPr="00775A14">
        <w:rPr>
          <w:rFonts w:ascii="Gill Sans Nova Light" w:eastAsiaTheme="minorHAnsi" w:hAnsi="Gill Sans Nova Light" w:cstheme="minorBidi"/>
          <w:sz w:val="22"/>
          <w:szCs w:val="22"/>
        </w:rPr>
        <w:t xml:space="preserve"> </w:t>
      </w:r>
      <w:r w:rsidR="00FD35AF" w:rsidRPr="00775A14">
        <w:rPr>
          <w:rFonts w:ascii="Gill Sans Nova Light" w:eastAsiaTheme="minorHAnsi" w:hAnsi="Gill Sans Nova Light" w:cstheme="minorBidi"/>
          <w:sz w:val="22"/>
          <w:szCs w:val="22"/>
        </w:rPr>
        <w:t xml:space="preserve">At </w:t>
      </w:r>
      <w:r w:rsidR="008364A1" w:rsidRPr="00775A14">
        <w:rPr>
          <w:rFonts w:ascii="Gill Sans Nova Light" w:eastAsiaTheme="minorHAnsi" w:hAnsi="Gill Sans Nova Light" w:cstheme="minorBidi"/>
          <w:sz w:val="22"/>
          <w:szCs w:val="22"/>
        </w:rPr>
        <w:t xml:space="preserve">assessment </w:t>
      </w:r>
      <w:proofErr w:type="gramStart"/>
      <w:r w:rsidR="008364A1" w:rsidRPr="00775A14">
        <w:rPr>
          <w:rFonts w:ascii="Gill Sans Nova Light" w:eastAsiaTheme="minorHAnsi" w:hAnsi="Gill Sans Nova Light" w:cstheme="minorBidi"/>
          <w:sz w:val="22"/>
          <w:szCs w:val="22"/>
        </w:rPr>
        <w:t>endline</w:t>
      </w:r>
      <w:proofErr w:type="gramEnd"/>
      <w:r w:rsidR="00FD35AF" w:rsidRPr="00775A14">
        <w:rPr>
          <w:rFonts w:ascii="Gill Sans Nova Light" w:eastAsiaTheme="minorHAnsi" w:hAnsi="Gill Sans Nova Light" w:cstheme="minorBidi"/>
          <w:sz w:val="22"/>
          <w:szCs w:val="22"/>
        </w:rPr>
        <w:t xml:space="preserve"> the 72-hour mortality was 55%</w:t>
      </w:r>
      <w:r w:rsidR="00BB4CA7" w:rsidRPr="00775A14">
        <w:rPr>
          <w:rFonts w:ascii="Gill Sans Nova Light" w:eastAsiaTheme="minorHAnsi" w:hAnsi="Gill Sans Nova Light" w:cstheme="minorBidi"/>
          <w:sz w:val="22"/>
          <w:szCs w:val="22"/>
        </w:rPr>
        <w:t xml:space="preserve"> against the resistant strain</w:t>
      </w:r>
      <w:r w:rsidR="00FD35AF" w:rsidRPr="00775A14">
        <w:rPr>
          <w:rFonts w:ascii="Gill Sans Nova Light" w:eastAsiaTheme="minorHAnsi" w:hAnsi="Gill Sans Nova Light" w:cstheme="minorBidi"/>
          <w:sz w:val="22"/>
          <w:szCs w:val="22"/>
        </w:rPr>
        <w:t xml:space="preserve">, </w:t>
      </w:r>
      <w:proofErr w:type="gramStart"/>
      <w:r w:rsidR="005B1BB3" w:rsidRPr="00775A14">
        <w:rPr>
          <w:rFonts w:ascii="Gill Sans Nova Light" w:eastAsiaTheme="minorHAnsi" w:hAnsi="Gill Sans Nova Light" w:cstheme="minorBidi"/>
          <w:sz w:val="22"/>
          <w:szCs w:val="22"/>
        </w:rPr>
        <w:t>down from</w:t>
      </w:r>
      <w:proofErr w:type="gramEnd"/>
      <w:r w:rsidR="00FD35AF" w:rsidRPr="00775A14">
        <w:rPr>
          <w:rFonts w:ascii="Gill Sans Nova Light" w:eastAsiaTheme="minorHAnsi" w:hAnsi="Gill Sans Nova Light" w:cstheme="minorBidi"/>
          <w:sz w:val="22"/>
          <w:szCs w:val="22"/>
        </w:rPr>
        <w:t xml:space="preserve"> </w:t>
      </w:r>
      <w:proofErr w:type="spellStart"/>
      <w:r w:rsidR="00FD35AF" w:rsidRPr="00775A14">
        <w:rPr>
          <w:rFonts w:ascii="Gill Sans Nova Light" w:eastAsiaTheme="minorHAnsi" w:hAnsi="Gill Sans Nova Light" w:cstheme="minorBidi"/>
          <w:sz w:val="22"/>
          <w:szCs w:val="22"/>
        </w:rPr>
        <w:t>from</w:t>
      </w:r>
      <w:proofErr w:type="spellEnd"/>
      <w:r w:rsidR="00FD35AF" w:rsidRPr="00775A14">
        <w:rPr>
          <w:rFonts w:ascii="Gill Sans Nova Light" w:eastAsiaTheme="minorHAnsi" w:hAnsi="Gill Sans Nova Light" w:cstheme="minorBidi"/>
          <w:sz w:val="22"/>
          <w:szCs w:val="22"/>
        </w:rPr>
        <w:t xml:space="preserve"> 87% </w:t>
      </w:r>
      <w:r w:rsidR="00BB4CA7" w:rsidRPr="00775A14">
        <w:rPr>
          <w:rFonts w:ascii="Gill Sans Nova Light" w:eastAsiaTheme="minorHAnsi" w:hAnsi="Gill Sans Nova Light" w:cstheme="minorBidi"/>
          <w:sz w:val="22"/>
          <w:szCs w:val="22"/>
        </w:rPr>
        <w:t>at pre-distribution</w:t>
      </w:r>
      <w:r w:rsidR="00501074" w:rsidRPr="00775A14">
        <w:rPr>
          <w:rFonts w:ascii="Gill Sans Nova Light" w:eastAsiaTheme="minorHAnsi" w:hAnsi="Gill Sans Nova Light" w:cstheme="minorBidi"/>
          <w:sz w:val="22"/>
          <w:szCs w:val="22"/>
        </w:rPr>
        <w:t>.</w:t>
      </w:r>
      <w:r w:rsidR="00A63FED" w:rsidRPr="00775A14">
        <w:rPr>
          <w:rFonts w:ascii="Gill Sans Nova Light" w:eastAsiaTheme="minorHAnsi" w:hAnsi="Gill Sans Nova Light" w:cstheme="minorBidi"/>
          <w:sz w:val="22"/>
          <w:szCs w:val="22"/>
        </w:rPr>
        <w:t xml:space="preserve"> </w:t>
      </w:r>
      <w:r w:rsidR="00920D3D" w:rsidRPr="00775A14">
        <w:rPr>
          <w:rFonts w:ascii="Gill Sans Nova Light" w:eastAsiaTheme="minorHAnsi" w:hAnsi="Gill Sans Nova Light" w:cstheme="minorBidi"/>
          <w:sz w:val="22"/>
          <w:szCs w:val="22"/>
        </w:rPr>
        <w:t xml:space="preserve">Endline </w:t>
      </w:r>
      <w:r w:rsidR="00A63FED" w:rsidRPr="00775A14">
        <w:rPr>
          <w:rFonts w:ascii="Gill Sans Nova Light" w:eastAsiaTheme="minorHAnsi" w:hAnsi="Gill Sans Nova Light" w:cstheme="minorBidi"/>
          <w:sz w:val="22"/>
          <w:szCs w:val="22"/>
        </w:rPr>
        <w:t>BFI was surprisingly very low</w:t>
      </w:r>
      <w:r w:rsidR="00920D3D" w:rsidRPr="00775A14">
        <w:rPr>
          <w:rFonts w:ascii="Gill Sans Nova Light" w:eastAsiaTheme="minorHAnsi" w:hAnsi="Gill Sans Nova Light" w:cstheme="minorBidi"/>
          <w:sz w:val="22"/>
          <w:szCs w:val="22"/>
        </w:rPr>
        <w:t xml:space="preserve">, </w:t>
      </w:r>
      <w:r w:rsidR="00A63FED" w:rsidRPr="00775A14">
        <w:rPr>
          <w:rFonts w:ascii="Gill Sans Nova Light" w:eastAsiaTheme="minorHAnsi" w:hAnsi="Gill Sans Nova Light" w:cstheme="minorBidi"/>
          <w:sz w:val="22"/>
          <w:szCs w:val="22"/>
        </w:rPr>
        <w:t xml:space="preserve">at only 9% compared to 90% at pre-distribution, 43% at 12 months, and 84% at 24 months. The low BFI may be attributable to the resistance mechanism in the </w:t>
      </w:r>
      <w:r w:rsidR="006A4D9C" w:rsidRPr="00775A14">
        <w:rPr>
          <w:rFonts w:ascii="Gill Sans Nova Light" w:eastAsiaTheme="minorHAnsi" w:hAnsi="Gill Sans Nova Light" w:cstheme="minorBidi"/>
          <w:sz w:val="22"/>
          <w:szCs w:val="22"/>
        </w:rPr>
        <w:t xml:space="preserve">wild </w:t>
      </w:r>
      <w:r w:rsidR="00A63FED" w:rsidRPr="00775A14">
        <w:rPr>
          <w:rFonts w:ascii="Gill Sans Nova Light" w:eastAsiaTheme="minorHAnsi" w:hAnsi="Gill Sans Nova Light" w:cstheme="minorBidi"/>
          <w:sz w:val="22"/>
          <w:szCs w:val="22"/>
        </w:rPr>
        <w:t>mosquito population, which can affect blood feeding under laboratory condition</w:t>
      </w:r>
      <w:r w:rsidR="00DB7023" w:rsidRPr="00775A14">
        <w:rPr>
          <w:rFonts w:ascii="Gill Sans Nova Light" w:eastAsiaTheme="minorHAnsi" w:hAnsi="Gill Sans Nova Light" w:cstheme="minorBidi"/>
          <w:sz w:val="22"/>
          <w:szCs w:val="22"/>
        </w:rPr>
        <w:t>s</w:t>
      </w:r>
      <w:r w:rsidR="00A63FED" w:rsidRPr="00775A14">
        <w:rPr>
          <w:rFonts w:ascii="Gill Sans Nova Light" w:eastAsiaTheme="minorHAnsi" w:hAnsi="Gill Sans Nova Light" w:cstheme="minorBidi"/>
          <w:sz w:val="22"/>
          <w:szCs w:val="22"/>
        </w:rPr>
        <w:t xml:space="preserve">, even </w:t>
      </w:r>
      <w:r w:rsidR="00215F35" w:rsidRPr="00775A14">
        <w:rPr>
          <w:rFonts w:ascii="Gill Sans Nova Light" w:eastAsiaTheme="minorHAnsi" w:hAnsi="Gill Sans Nova Light" w:cstheme="minorBidi"/>
          <w:sz w:val="22"/>
          <w:szCs w:val="22"/>
        </w:rPr>
        <w:t>with</w:t>
      </w:r>
      <w:r w:rsidR="00A63FED" w:rsidRPr="00775A14">
        <w:rPr>
          <w:rFonts w:ascii="Gill Sans Nova Light" w:eastAsiaTheme="minorHAnsi" w:hAnsi="Gill Sans Nova Light" w:cstheme="minorBidi"/>
          <w:sz w:val="22"/>
          <w:szCs w:val="22"/>
        </w:rPr>
        <w:t xml:space="preserve"> </w:t>
      </w:r>
      <w:proofErr w:type="spellStart"/>
      <w:r w:rsidR="00A63FED" w:rsidRPr="00775A14">
        <w:rPr>
          <w:rFonts w:ascii="Gill Sans Nova Light" w:eastAsiaTheme="minorHAnsi" w:hAnsi="Gill Sans Nova Light" w:cstheme="minorBidi"/>
          <w:sz w:val="22"/>
          <w:szCs w:val="22"/>
        </w:rPr>
        <w:t>with</w:t>
      </w:r>
      <w:proofErr w:type="spellEnd"/>
      <w:r w:rsidR="00A63FED" w:rsidRPr="00775A14">
        <w:rPr>
          <w:rFonts w:ascii="Gill Sans Nova Light" w:eastAsiaTheme="minorHAnsi" w:hAnsi="Gill Sans Nova Light" w:cstheme="minorBidi"/>
          <w:sz w:val="22"/>
          <w:szCs w:val="22"/>
        </w:rPr>
        <w:t xml:space="preserve"> unt</w:t>
      </w:r>
      <w:r w:rsidR="00DB7023" w:rsidRPr="00775A14">
        <w:rPr>
          <w:rFonts w:ascii="Gill Sans Nova Light" w:eastAsiaTheme="minorHAnsi" w:hAnsi="Gill Sans Nova Light" w:cstheme="minorBidi"/>
          <w:sz w:val="22"/>
          <w:szCs w:val="22"/>
        </w:rPr>
        <w:t>r</w:t>
      </w:r>
      <w:r w:rsidR="00A63FED" w:rsidRPr="00775A14">
        <w:rPr>
          <w:rFonts w:ascii="Gill Sans Nova Light" w:eastAsiaTheme="minorHAnsi" w:hAnsi="Gill Sans Nova Light" w:cstheme="minorBidi"/>
          <w:sz w:val="22"/>
          <w:szCs w:val="22"/>
        </w:rPr>
        <w:t>eated netting.</w:t>
      </w:r>
      <w:r w:rsidR="00DD7E06" w:rsidRPr="00775A14">
        <w:rPr>
          <w:rFonts w:ascii="Gill Sans Nova Light" w:eastAsiaTheme="minorHAnsi" w:hAnsi="Gill Sans Nova Light" w:cstheme="minorBidi"/>
          <w:sz w:val="22"/>
          <w:szCs w:val="22"/>
        </w:rPr>
        <w:t xml:space="preserve"> </w:t>
      </w:r>
      <w:r w:rsidR="001138C2" w:rsidRPr="00775A14">
        <w:rPr>
          <w:rFonts w:ascii="Gill Sans Nova Light" w:eastAsiaTheme="minorHAnsi" w:hAnsi="Gill Sans Nova Light" w:cstheme="minorBidi"/>
          <w:sz w:val="22"/>
          <w:szCs w:val="22"/>
        </w:rPr>
        <w:t xml:space="preserve">At </w:t>
      </w:r>
      <w:r w:rsidR="00215F35" w:rsidRPr="00775A14">
        <w:rPr>
          <w:rFonts w:ascii="Gill Sans Nova Light" w:eastAsiaTheme="minorHAnsi" w:hAnsi="Gill Sans Nova Light" w:cstheme="minorBidi"/>
          <w:sz w:val="22"/>
          <w:szCs w:val="22"/>
        </w:rPr>
        <w:t>endline</w:t>
      </w:r>
      <w:r w:rsidR="001138C2" w:rsidRPr="00775A14">
        <w:rPr>
          <w:rFonts w:ascii="Gill Sans Nova Light" w:eastAsiaTheme="minorHAnsi" w:hAnsi="Gill Sans Nova Light" w:cstheme="minorBidi"/>
          <w:sz w:val="22"/>
          <w:szCs w:val="22"/>
        </w:rPr>
        <w:t xml:space="preserve">, mean alpha-cypermethrin content was 0.9 g/kg, corresponding to a 63% loss </w:t>
      </w:r>
      <w:r w:rsidR="00E9324D" w:rsidRPr="00775A14">
        <w:rPr>
          <w:rFonts w:ascii="Gill Sans Nova Light" w:eastAsiaTheme="minorHAnsi" w:hAnsi="Gill Sans Nova Light" w:cstheme="minorBidi"/>
          <w:sz w:val="22"/>
          <w:szCs w:val="22"/>
        </w:rPr>
        <w:t>compared</w:t>
      </w:r>
      <w:r w:rsidR="001138C2" w:rsidRPr="00775A14">
        <w:rPr>
          <w:rFonts w:ascii="Gill Sans Nova Light" w:eastAsiaTheme="minorHAnsi" w:hAnsi="Gill Sans Nova Light" w:cstheme="minorBidi"/>
          <w:sz w:val="22"/>
          <w:szCs w:val="22"/>
        </w:rPr>
        <w:t xml:space="preserve"> to the manufacturer’s target dose of 2.4 g/kg. Mean chlorfenapyr content was 1.0 g/kg, representing a 79% reduction from the target dose of 4.8 g/kg. </w:t>
      </w:r>
      <w:r w:rsidR="0032044A" w:rsidRPr="00775A14">
        <w:rPr>
          <w:rFonts w:ascii="Gill Sans Nova Light" w:eastAsiaTheme="minorHAnsi" w:hAnsi="Gill Sans Nova Light" w:cstheme="minorBidi"/>
          <w:sz w:val="22"/>
          <w:szCs w:val="22"/>
        </w:rPr>
        <w:t>Results</w:t>
      </w:r>
      <w:r w:rsidR="003D79E7" w:rsidRPr="00775A14">
        <w:rPr>
          <w:rFonts w:ascii="Gill Sans Nova Light" w:eastAsiaTheme="minorHAnsi" w:hAnsi="Gill Sans Nova Light" w:cstheme="minorBidi"/>
          <w:sz w:val="22"/>
          <w:szCs w:val="22"/>
        </w:rPr>
        <w:t xml:space="preserve"> indicate that 27 out of 30 field 36-month ITN samples fell below the lower limit of the manufacturer</w:t>
      </w:r>
      <w:r w:rsidR="004933F3" w:rsidRPr="00775A14">
        <w:rPr>
          <w:rFonts w:ascii="Gill Sans Nova Light" w:eastAsiaTheme="minorHAnsi" w:hAnsi="Gill Sans Nova Light" w:cstheme="minorBidi"/>
          <w:sz w:val="22"/>
          <w:szCs w:val="22"/>
        </w:rPr>
        <w:t xml:space="preserve"> </w:t>
      </w:r>
      <w:r w:rsidR="003D79E7" w:rsidRPr="00775A14">
        <w:rPr>
          <w:rFonts w:ascii="Gill Sans Nova Light" w:eastAsiaTheme="minorHAnsi" w:hAnsi="Gill Sans Nova Light" w:cstheme="minorBidi"/>
          <w:sz w:val="22"/>
          <w:szCs w:val="22"/>
        </w:rPr>
        <w:t xml:space="preserve">specified </w:t>
      </w:r>
      <w:r w:rsidR="0032044A" w:rsidRPr="00775A14">
        <w:rPr>
          <w:rFonts w:ascii="Gill Sans Nova Light" w:eastAsiaTheme="minorHAnsi" w:hAnsi="Gill Sans Nova Light" w:cstheme="minorBidi"/>
          <w:sz w:val="22"/>
          <w:szCs w:val="22"/>
        </w:rPr>
        <w:t xml:space="preserve">chlorfenapyr content </w:t>
      </w:r>
      <w:r w:rsidR="003D79E7" w:rsidRPr="00775A14">
        <w:rPr>
          <w:rFonts w:ascii="Gill Sans Nova Light" w:eastAsiaTheme="minorHAnsi" w:hAnsi="Gill Sans Nova Light" w:cstheme="minorBidi"/>
          <w:sz w:val="22"/>
          <w:szCs w:val="22"/>
        </w:rPr>
        <w:t xml:space="preserve">range </w:t>
      </w:r>
      <w:r w:rsidR="004933F3" w:rsidRPr="00775A14">
        <w:rPr>
          <w:rFonts w:ascii="Gill Sans Nova Light" w:eastAsiaTheme="minorHAnsi" w:hAnsi="Gill Sans Nova Light" w:cstheme="minorBidi"/>
          <w:sz w:val="22"/>
          <w:szCs w:val="22"/>
        </w:rPr>
        <w:t xml:space="preserve">of </w:t>
      </w:r>
      <w:r w:rsidR="003D79E7" w:rsidRPr="00775A14">
        <w:rPr>
          <w:rFonts w:ascii="Gill Sans Nova Light" w:eastAsiaTheme="minorHAnsi" w:hAnsi="Gill Sans Nova Light" w:cstheme="minorBidi"/>
          <w:sz w:val="22"/>
          <w:szCs w:val="22"/>
        </w:rPr>
        <w:t>3.6 g/kg</w:t>
      </w:r>
      <w:r w:rsidR="008F79EB" w:rsidRPr="00775A14">
        <w:rPr>
          <w:rFonts w:ascii="Gill Sans Nova Light" w:eastAsiaTheme="minorHAnsi" w:hAnsi="Gill Sans Nova Light" w:cstheme="minorBidi"/>
          <w:sz w:val="22"/>
          <w:szCs w:val="22"/>
        </w:rPr>
        <w:t xml:space="preserve"> +/- 20%</w:t>
      </w:r>
      <w:r w:rsidR="003D79E7" w:rsidRPr="00775A14">
        <w:rPr>
          <w:rFonts w:ascii="Gill Sans Nova Light" w:eastAsiaTheme="minorHAnsi" w:hAnsi="Gill Sans Nova Light" w:cstheme="minorBidi"/>
          <w:sz w:val="22"/>
          <w:szCs w:val="22"/>
        </w:rPr>
        <w:t>.</w:t>
      </w:r>
    </w:p>
    <w:p w14:paraId="13FB71A9" w14:textId="2D0EC395" w:rsidR="00DB77B8" w:rsidRDefault="008B32D7" w:rsidP="00597571">
      <w:pPr>
        <w:rPr>
          <w:rFonts w:ascii="Gill Sans Nova Light" w:hAnsi="Gill Sans Nova Light"/>
        </w:rPr>
      </w:pPr>
      <w:r>
        <w:rPr>
          <w:noProof/>
        </w:rPr>
        <w:drawing>
          <wp:anchor distT="0" distB="0" distL="114300" distR="114300" simplePos="0" relativeHeight="251658242" behindDoc="0" locked="0" layoutInCell="1" allowOverlap="1" wp14:anchorId="50D30C01" wp14:editId="3CF48C63">
            <wp:simplePos x="0" y="0"/>
            <wp:positionH relativeFrom="margin">
              <wp:posOffset>4495800</wp:posOffset>
            </wp:positionH>
            <wp:positionV relativeFrom="paragraph">
              <wp:posOffset>1002665</wp:posOffset>
            </wp:positionV>
            <wp:extent cx="3576955" cy="2603500"/>
            <wp:effectExtent l="0" t="0" r="4445" b="6350"/>
            <wp:wrapSquare wrapText="bothSides"/>
            <wp:docPr id="98573386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76955" cy="2603500"/>
                    </a:xfrm>
                    <a:prstGeom prst="rect">
                      <a:avLst/>
                    </a:prstGeom>
                    <a:noFill/>
                  </pic:spPr>
                </pic:pic>
              </a:graphicData>
            </a:graphic>
            <wp14:sizeRelH relativeFrom="margin">
              <wp14:pctWidth>0</wp14:pctWidth>
            </wp14:sizeRelH>
            <wp14:sizeRelV relativeFrom="margin">
              <wp14:pctHeight>0</wp14:pctHeight>
            </wp14:sizeRelV>
          </wp:anchor>
        </w:drawing>
      </w:r>
    </w:p>
    <w:p w14:paraId="50593F83" w14:textId="2A71FA2E" w:rsidR="00DB77B8" w:rsidRPr="009F65DE" w:rsidRDefault="005E70C3" w:rsidP="00597571">
      <w:pPr>
        <w:rPr>
          <w:rFonts w:ascii="Gill Sans Nova Light" w:hAnsi="Gill Sans Nova Light"/>
        </w:rPr>
      </w:pPr>
      <w:r>
        <w:rPr>
          <w:noProof/>
        </w:rPr>
        <w:drawing>
          <wp:anchor distT="0" distB="0" distL="114300" distR="114300" simplePos="0" relativeHeight="251658247" behindDoc="0" locked="0" layoutInCell="1" allowOverlap="1" wp14:anchorId="07C271AC" wp14:editId="52AFCA66">
            <wp:simplePos x="0" y="0"/>
            <wp:positionH relativeFrom="column">
              <wp:posOffset>174625</wp:posOffset>
            </wp:positionH>
            <wp:positionV relativeFrom="paragraph">
              <wp:posOffset>844550</wp:posOffset>
            </wp:positionV>
            <wp:extent cx="3637915" cy="2647950"/>
            <wp:effectExtent l="0" t="0" r="635" b="0"/>
            <wp:wrapSquare wrapText="bothSides"/>
            <wp:docPr id="1912777963"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37915" cy="2647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D41DC2" w14:textId="73297EA4" w:rsidR="002F0490" w:rsidRDefault="002F0490" w:rsidP="00597571"/>
    <w:p w14:paraId="62EC865D" w14:textId="0E00104B" w:rsidR="00597571" w:rsidRDefault="00597571" w:rsidP="00597571"/>
    <w:p w14:paraId="2933BDFB" w14:textId="084F65EE" w:rsidR="002F0490" w:rsidRPr="00597571" w:rsidRDefault="005E70C3" w:rsidP="006E692F">
      <w:pPr>
        <w:sectPr w:rsidR="002F0490" w:rsidRPr="00597571" w:rsidSect="0003079D">
          <w:footerReference w:type="default" r:id="rId18"/>
          <w:pgSz w:w="15840" w:h="12240" w:orient="landscape"/>
          <w:pgMar w:top="1440" w:right="1440" w:bottom="1440" w:left="1440" w:header="720" w:footer="720" w:gutter="0"/>
          <w:pgNumType w:start="1"/>
          <w:cols w:space="720"/>
          <w:docGrid w:linePitch="360"/>
        </w:sectPr>
      </w:pPr>
      <w:r>
        <w:rPr>
          <w:noProof/>
        </w:rPr>
        <mc:AlternateContent>
          <mc:Choice Requires="wps">
            <w:drawing>
              <wp:anchor distT="45720" distB="45720" distL="114300" distR="114300" simplePos="0" relativeHeight="251658243" behindDoc="0" locked="0" layoutInCell="1" hidden="0" allowOverlap="1" wp14:anchorId="4AE06F74" wp14:editId="31990697">
                <wp:simplePos x="0" y="0"/>
                <wp:positionH relativeFrom="column">
                  <wp:posOffset>4697730</wp:posOffset>
                </wp:positionH>
                <wp:positionV relativeFrom="paragraph">
                  <wp:posOffset>2123440</wp:posOffset>
                </wp:positionV>
                <wp:extent cx="3295650" cy="504825"/>
                <wp:effectExtent l="0" t="0" r="19050" b="28575"/>
                <wp:wrapSquare wrapText="bothSides"/>
                <wp:docPr id="40" name="Rectangle 40"/>
                <wp:cNvGraphicFramePr/>
                <a:graphic xmlns:a="http://schemas.openxmlformats.org/drawingml/2006/main">
                  <a:graphicData uri="http://schemas.microsoft.com/office/word/2010/wordprocessingShape">
                    <wps:wsp>
                      <wps:cNvSpPr/>
                      <wps:spPr>
                        <a:xfrm>
                          <a:off x="0" y="0"/>
                          <a:ext cx="3295650" cy="50482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0BEB279E" w14:textId="77777777" w:rsidR="00A64567" w:rsidRPr="009F65DE" w:rsidRDefault="00A64567" w:rsidP="00A64567">
                            <w:pPr>
                              <w:pStyle w:val="1-BodyTextItalics"/>
                              <w:rPr>
                                <w:sz w:val="16"/>
                                <w:szCs w:val="16"/>
                              </w:rPr>
                            </w:pPr>
                            <w:r w:rsidRPr="009F65DE">
                              <w:rPr>
                                <w:sz w:val="16"/>
                                <w:szCs w:val="16"/>
                              </w:rPr>
                              <w:t>Box plot shows the median (horizontal line), interquartile range (box), adjacent values (whiskers), outliers (circles), and for each legend, bold line dashes specify manufacturer threshold (with fine line dashes indicating acceptable range).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AE06F74" id="Rectangle 40" o:spid="_x0000_s1032" style="position:absolute;margin-left:369.9pt;margin-top:167.2pt;width:259.5pt;height:39.7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" strokecolor="white">
                <v:stroke startarrowwidth="narrow" startarrowlength="short" endarrowwidth="narrow" endarrowlength="short"/>
                <v:textbox inset="2.53958mm,1.2694mm,2.53958mm,1.2694mm">
                  <w:txbxContent>
                    <w:p w14:paraId="0BEB279E" w14:textId="77777777" w:rsidR="00A64567" w:rsidRPr="009F65DE" w:rsidRDefault="00A64567" w:rsidP="00A64567">
                      <w:pPr>
                        <w:pStyle w:val="1-BodyTextItalics"/>
                        <w:rPr>
                          <w:sz w:val="16"/>
                          <w:szCs w:val="16"/>
                        </w:rPr>
                      </w:pPr>
                      <w:r w:rsidRPr="009F65DE">
                        <w:rPr>
                          <w:sz w:val="16"/>
                          <w:szCs w:val="16"/>
                        </w:rPr>
                        <w:t>Box plot shows the median (horizontal line), interquartile range (box), adjacent values (whiskers), outliers (circles), and for each legend, bold line dashes specify manufacturer threshold (with fine line dashes indicating acceptable range).</w:t>
                      </w:r>
                    </w:p>
                  </w:txbxContent>
                </v:textbox>
                <w10:wrap type="square"/>
              </v:rect>
            </w:pict>
          </mc:Fallback>
        </mc:AlternateContent>
      </w:r>
      <w:r w:rsidR="008B32D7">
        <w:rPr>
          <w:noProof/>
        </w:rPr>
        <mc:AlternateContent>
          <mc:Choice Requires="wps">
            <w:drawing>
              <wp:anchor distT="45720" distB="45720" distL="114300" distR="114300" simplePos="0" relativeHeight="251658248" behindDoc="0" locked="0" layoutInCell="1" hidden="0" allowOverlap="1" wp14:anchorId="00A47990" wp14:editId="454D116F">
                <wp:simplePos x="0" y="0"/>
                <wp:positionH relativeFrom="column">
                  <wp:posOffset>430530</wp:posOffset>
                </wp:positionH>
                <wp:positionV relativeFrom="paragraph">
                  <wp:posOffset>2145665</wp:posOffset>
                </wp:positionV>
                <wp:extent cx="3276600" cy="482600"/>
                <wp:effectExtent l="0" t="0" r="19050" b="12700"/>
                <wp:wrapSquare wrapText="bothSides"/>
                <wp:docPr id="37" name="Rectangle 37"/>
                <wp:cNvGraphicFramePr/>
                <a:graphic xmlns:a="http://schemas.openxmlformats.org/drawingml/2006/main">
                  <a:graphicData uri="http://schemas.microsoft.com/office/word/2010/wordprocessingShape">
                    <wps:wsp>
                      <wps:cNvSpPr/>
                      <wps:spPr>
                        <a:xfrm>
                          <a:off x="0" y="0"/>
                          <a:ext cx="3276600" cy="4826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7B9EC4F8" w14:textId="77777777" w:rsidR="00EA5457" w:rsidRPr="009F65DE" w:rsidRDefault="00EA5457" w:rsidP="00EA5457">
                            <w:pPr>
                              <w:pStyle w:val="1-BodyTextItalics"/>
                              <w:rPr>
                                <w:sz w:val="16"/>
                                <w:szCs w:val="16"/>
                              </w:rPr>
                            </w:pPr>
                            <w:r w:rsidRPr="009F65DE">
                              <w:rPr>
                                <w:sz w:val="16"/>
                                <w:szCs w:val="16"/>
                              </w:rPr>
                              <w:t>Box plot shows the median (horizontal line), interquartile range (box), adjacent values (whiskers) and outlier (circle).</w:t>
                            </w:r>
                          </w:p>
                          <w:p w14:paraId="14F75562" w14:textId="77777777" w:rsidR="00EA5457" w:rsidRDefault="00EA5457" w:rsidP="00EA5457">
                            <w:pPr>
                              <w:pStyle w:val="1-BodyTextItalics"/>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0A47990" id="Rectangle 37" o:spid="_x0000_s1033" style="position:absolute;margin-left:33.9pt;margin-top:168.95pt;width:258pt;height:38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" strokecolor="white">
                <v:stroke startarrowwidth="narrow" startarrowlength="short" endarrowwidth="narrow" endarrowlength="short"/>
                <v:textbox inset="2.53958mm,1.2694mm,2.53958mm,1.2694mm">
                  <w:txbxContent>
                    <w:p w14:paraId="7B9EC4F8" w14:textId="77777777" w:rsidR="00EA5457" w:rsidRPr="009F65DE" w:rsidRDefault="00EA5457" w:rsidP="00EA5457">
                      <w:pPr>
                        <w:pStyle w:val="1-BodyTextItalics"/>
                        <w:rPr>
                          <w:sz w:val="16"/>
                          <w:szCs w:val="16"/>
                        </w:rPr>
                      </w:pPr>
                      <w:r w:rsidRPr="009F65DE">
                        <w:rPr>
                          <w:sz w:val="16"/>
                          <w:szCs w:val="16"/>
                        </w:rPr>
                        <w:t>Box plot shows the median (horizontal line), interquartile range (box), adjacent values (whiskers) and outlier (circle).</w:t>
                      </w:r>
                    </w:p>
                    <w:p w14:paraId="14F75562" w14:textId="77777777" w:rsidR="00EA5457" w:rsidRDefault="00EA5457" w:rsidP="00EA5457">
                      <w:pPr>
                        <w:pStyle w:val="1-BodyTextItalics"/>
                      </w:pPr>
                    </w:p>
                  </w:txbxContent>
                </v:textbox>
                <w10:wrap type="square"/>
              </v:rect>
            </w:pict>
          </mc:Fallback>
        </mc:AlternateContent>
      </w:r>
      <w:r w:rsidR="002F0490">
        <w:rPr>
          <w:noProof/>
        </w:rPr>
        <w:t xml:space="preserve"> </w:t>
      </w:r>
    </w:p>
    <w:p w14:paraId="6F25E660" w14:textId="522E68E3" w:rsidR="00D45008" w:rsidRDefault="00415A38" w:rsidP="0052500C">
      <w:pPr>
        <w:pStyle w:val="Heading2"/>
        <w:numPr>
          <w:ilvl w:val="0"/>
          <w:numId w:val="0"/>
        </w:numPr>
      </w:pPr>
      <w:r>
        <w:t>Du</w:t>
      </w:r>
      <w:r w:rsidR="00972E80">
        <w:t>r</w:t>
      </w:r>
      <w:r>
        <w:t xml:space="preserve">ability Monitoring </w:t>
      </w:r>
      <w:r w:rsidR="00D45008">
        <w:t>Indicator Definitions</w:t>
      </w:r>
    </w:p>
    <w:tbl>
      <w:tblPr>
        <w:tblStyle w:val="TableGrid1"/>
        <w:tblW w:w="10540" w:type="dxa"/>
        <w:jc w:val="center"/>
        <w:tblLayout w:type="fixed"/>
        <w:tblLook w:val="0000" w:firstRow="0" w:lastRow="0" w:firstColumn="0" w:lastColumn="0" w:noHBand="0" w:noVBand="0"/>
      </w:tblPr>
      <w:tblGrid>
        <w:gridCol w:w="10540"/>
      </w:tblGrid>
      <w:tr w:rsidR="001063AD" w:rsidRPr="00FE663E" w14:paraId="70A66676" w14:textId="77777777" w:rsidTr="00775A14">
        <w:trPr>
          <w:trHeight w:val="292"/>
          <w:jc w:val="center"/>
        </w:trPr>
        <w:tc>
          <w:tcPr>
            <w:tcW w:w="10540" w:type="dxa"/>
            <w:tcBorders>
              <w:bottom w:val="nil"/>
            </w:tcBorders>
            <w:shd w:val="clear" w:color="auto" w:fill="DEEBF7"/>
          </w:tcPr>
          <w:p w14:paraId="4A91D4EF" w14:textId="36FE3A4A" w:rsidR="00BB6492" w:rsidRDefault="001063AD" w:rsidP="00775A14">
            <w:pPr>
              <w:pStyle w:val="1-BodyText"/>
              <w:spacing w:after="0"/>
            </w:pPr>
            <w:r w:rsidRPr="00775A14">
              <w:rPr>
                <w:rFonts w:eastAsia="Gill Sans" w:cs="Gill Sans"/>
                <w:b/>
                <w:bCs/>
              </w:rPr>
              <w:t>All-cause attrition:</w:t>
            </w:r>
            <w:r w:rsidRPr="00FE663E">
              <w:rPr>
                <w:b/>
                <w:bCs/>
              </w:rPr>
              <w:t xml:space="preserve"> </w:t>
            </w:r>
            <w:r w:rsidRPr="00FE663E">
              <w:t xml:space="preserve"> </w:t>
            </w:r>
          </w:p>
          <w:p w14:paraId="5648C2DA" w14:textId="2DABC674" w:rsidR="001063AD" w:rsidRDefault="001063AD" w:rsidP="00775A14">
            <w:pPr>
              <w:pStyle w:val="1-BodyText"/>
              <w:rPr>
                <w:lang w:val="en-US"/>
              </w:rPr>
            </w:pPr>
            <w:r>
              <w:t>At 12 months,</w:t>
            </w:r>
            <w:r>
              <w:rPr>
                <w:lang w:val="en-US"/>
              </w:rPr>
              <w:t xml:space="preserve"> attrition is calculated as the</w:t>
            </w:r>
            <w:r>
              <w:t xml:space="preserve"> </w:t>
            </w:r>
            <w:r w:rsidRPr="00D754BC">
              <w:rPr>
                <w:lang w:val="en-US"/>
              </w:rPr>
              <w:t>ITNs reportedly received during the mass campaign that are no longer physically present divided by the total number of ITNs reportedly received during the mass campaign</w:t>
            </w:r>
            <w:r>
              <w:rPr>
                <w:lang w:val="en-US"/>
              </w:rPr>
              <w:t>.</w:t>
            </w:r>
          </w:p>
          <w:p w14:paraId="7039F33E" w14:textId="5C71039B" w:rsidR="001063AD" w:rsidRDefault="001063AD" w:rsidP="00775A14">
            <w:pPr>
              <w:pStyle w:val="1-BodyText"/>
            </w:pPr>
            <w:r>
              <w:rPr>
                <w:lang w:val="en-US"/>
              </w:rPr>
              <w:t xml:space="preserve">At 24 and 36 months, total attrition is calculated as </w:t>
            </w:r>
            <w:r>
              <w:t>t</w:t>
            </w:r>
            <w:r w:rsidRPr="001A5DBE">
              <w:t xml:space="preserve">he number of nets with known status lost by </w:t>
            </w:r>
            <w:r>
              <w:t>12-month</w:t>
            </w:r>
            <w:r w:rsidRPr="001A5DBE">
              <w:t xml:space="preserve"> plus an estimate* of the number of nets with known status lost between 12 months and the 24</w:t>
            </w:r>
            <w:r>
              <w:t>-</w:t>
            </w:r>
            <w:r w:rsidRPr="001A5DBE">
              <w:t xml:space="preserve"> or 36</w:t>
            </w:r>
            <w:r>
              <w:t>-</w:t>
            </w:r>
            <w:r w:rsidRPr="001A5DBE">
              <w:t>m</w:t>
            </w:r>
            <w:r>
              <w:t>onth</w:t>
            </w:r>
            <w:r w:rsidRPr="001A5DBE">
              <w:t xml:space="preserve"> survey round divided by the total number of ITNs reportedly received during the mass campaign</w:t>
            </w:r>
            <w:r>
              <w:t>.</w:t>
            </w:r>
          </w:p>
          <w:p w14:paraId="7A357A6B" w14:textId="77777777" w:rsidR="001063AD" w:rsidRPr="00FE663E" w:rsidRDefault="001063AD" w:rsidP="00775A14">
            <w:pPr>
              <w:pStyle w:val="1-BodyText"/>
            </w:pPr>
            <w:r w:rsidRPr="00AD5EF6">
              <w:rPr>
                <w:sz w:val="18"/>
                <w:szCs w:val="18"/>
              </w:rPr>
              <w:t>*Assuming all nets in the sampling frame for that round undergo attrition/attrition due to wear and tear at the same level as the point estimate calculated for the survey round</w:t>
            </w:r>
            <w:r>
              <w:rPr>
                <w:sz w:val="18"/>
                <w:szCs w:val="18"/>
              </w:rPr>
              <w:t>.</w:t>
            </w:r>
          </w:p>
        </w:tc>
      </w:tr>
      <w:tr w:rsidR="001063AD" w:rsidRPr="00FE663E" w14:paraId="56FA3256" w14:textId="77777777" w:rsidTr="00775A14">
        <w:trPr>
          <w:trHeight w:val="292"/>
          <w:jc w:val="center"/>
        </w:trPr>
        <w:tc>
          <w:tcPr>
            <w:tcW w:w="10540" w:type="dxa"/>
            <w:tcBorders>
              <w:bottom w:val="nil"/>
            </w:tcBorders>
          </w:tcPr>
          <w:p w14:paraId="3AB5A5FE" w14:textId="77777777" w:rsidR="001063AD" w:rsidRDefault="001063AD" w:rsidP="00775A14">
            <w:pPr>
              <w:pStyle w:val="pf0"/>
              <w:spacing w:before="0" w:beforeAutospacing="0" w:after="0" w:afterAutospacing="0"/>
              <w:ind w:left="0"/>
              <w:rPr>
                <w:rFonts w:ascii="Gill Sans Nova Light" w:eastAsia="Gill Sans" w:hAnsi="Gill Sans Nova Light" w:cs="Gill Sans"/>
                <w:sz w:val="22"/>
                <w:szCs w:val="22"/>
              </w:rPr>
            </w:pPr>
            <w:r>
              <w:rPr>
                <w:rFonts w:ascii="Gill Sans Nova Light" w:eastAsia="Gill Sans" w:hAnsi="Gill Sans Nova Light" w:cs="Gill Sans"/>
                <w:b/>
                <w:bCs/>
                <w:sz w:val="22"/>
                <w:szCs w:val="22"/>
              </w:rPr>
              <w:t>A</w:t>
            </w:r>
            <w:r w:rsidRPr="009E3875">
              <w:rPr>
                <w:rFonts w:ascii="Gill Sans Nova Light" w:eastAsia="Gill Sans" w:hAnsi="Gill Sans Nova Light" w:cs="Gill Sans"/>
                <w:b/>
                <w:bCs/>
                <w:sz w:val="22"/>
                <w:szCs w:val="22"/>
              </w:rPr>
              <w:t xml:space="preserve">ttrition due to wear and tear: </w:t>
            </w:r>
          </w:p>
          <w:p w14:paraId="58D5C38D" w14:textId="48A77DAC" w:rsidR="001063AD" w:rsidRPr="00AD5EF6" w:rsidRDefault="001063AD" w:rsidP="001F44FC">
            <w:pPr>
              <w:pStyle w:val="1-BodyText"/>
              <w:rPr>
                <w:lang w:val="en-US"/>
              </w:rPr>
            </w:pPr>
            <w:r w:rsidRPr="00D44354">
              <w:t>At 12 months</w:t>
            </w:r>
            <w:r>
              <w:t xml:space="preserve">, attrition due to wear and tear is calculated as the </w:t>
            </w:r>
            <w:r w:rsidRPr="0032158D">
              <w:rPr>
                <w:lang w:val="en-US"/>
              </w:rPr>
              <w:t>ITNs reportedly received during the mass campaign that were destroyed, discarded or used for other purposes divided by the total number of ITNs reportedly received during the mass campaign</w:t>
            </w:r>
            <w:r w:rsidRPr="00D50778">
              <w:t>.</w:t>
            </w:r>
          </w:p>
          <w:p w14:paraId="12CF1AF3" w14:textId="69CB2295" w:rsidR="001063AD" w:rsidRPr="008F2B47" w:rsidRDefault="001063AD" w:rsidP="00775A14">
            <w:pPr>
              <w:pStyle w:val="1-BodyText"/>
            </w:pPr>
            <w:r w:rsidRPr="001F44FC">
              <w:t xml:space="preserve">At 24 and 36 months, total </w:t>
            </w:r>
            <w:r w:rsidRPr="00D50778">
              <w:t xml:space="preserve">attrition due to wear and tear is calculated as the </w:t>
            </w:r>
            <w:r w:rsidRPr="00D50778">
              <w:rPr>
                <w:lang w:val="en-US"/>
              </w:rPr>
              <w:t>number of nets with known status that were destroyed /discarded</w:t>
            </w:r>
            <w:r w:rsidRPr="00776077">
              <w:rPr>
                <w:rFonts w:cs="Gill Sans"/>
                <w:lang w:val="en-US"/>
              </w:rPr>
              <w:t xml:space="preserve"> /used for other purposes by </w:t>
            </w:r>
            <w:r>
              <w:rPr>
                <w:rFonts w:cs="Gill Sans"/>
                <w:lang w:val="en-US"/>
              </w:rPr>
              <w:t>12-month</w:t>
            </w:r>
            <w:r w:rsidRPr="00776077">
              <w:rPr>
                <w:rFonts w:cs="Gill Sans"/>
                <w:lang w:val="en-US"/>
              </w:rPr>
              <w:t xml:space="preserve"> plus an estimate* of the number of nets with known </w:t>
            </w:r>
            <w:r w:rsidRPr="007517F9">
              <w:t xml:space="preserve">status that were destroyed /discarded /used for other purposes between </w:t>
            </w:r>
            <w:r>
              <w:t>12 months</w:t>
            </w:r>
            <w:r w:rsidRPr="007517F9">
              <w:t xml:space="preserve"> and the 24</w:t>
            </w:r>
            <w:r>
              <w:t>-</w:t>
            </w:r>
            <w:r w:rsidRPr="007517F9">
              <w:t>or 36</w:t>
            </w:r>
            <w:r>
              <w:t>-</w:t>
            </w:r>
            <w:r w:rsidRPr="007517F9">
              <w:t>m</w:t>
            </w:r>
            <w:r>
              <w:t>onth</w:t>
            </w:r>
            <w:r w:rsidRPr="007517F9">
              <w:t xml:space="preserve"> survey round divided by </w:t>
            </w:r>
            <w:r w:rsidRPr="00AD5EF6">
              <w:t>the total number of ITNs reportedly received during the mass campaign.</w:t>
            </w:r>
          </w:p>
          <w:p w14:paraId="2E498EDB" w14:textId="77777777" w:rsidR="001063AD" w:rsidRPr="00B424FD" w:rsidRDefault="001063AD" w:rsidP="00775A14">
            <w:pPr>
              <w:pStyle w:val="1-BodyText"/>
              <w:rPr>
                <w:b/>
                <w:bCs/>
                <w:sz w:val="18"/>
                <w:szCs w:val="18"/>
              </w:rPr>
            </w:pPr>
            <w:r w:rsidRPr="00B424FD">
              <w:rPr>
                <w:sz w:val="18"/>
                <w:szCs w:val="18"/>
              </w:rPr>
              <w:t>*Assuming all nets in the sampling frame for that round undergo attrition/attrition due to wear and tear at the same level as the point estimate calculated for the survey round</w:t>
            </w:r>
            <w:r>
              <w:rPr>
                <w:sz w:val="18"/>
                <w:szCs w:val="18"/>
              </w:rPr>
              <w:t>.</w:t>
            </w:r>
          </w:p>
        </w:tc>
      </w:tr>
      <w:tr w:rsidR="001063AD" w:rsidRPr="00FE663E" w14:paraId="244F39D7" w14:textId="77777777" w:rsidTr="00775A14">
        <w:trPr>
          <w:trHeight w:val="292"/>
          <w:jc w:val="center"/>
        </w:trPr>
        <w:tc>
          <w:tcPr>
            <w:tcW w:w="10540" w:type="dxa"/>
            <w:tcBorders>
              <w:bottom w:val="single" w:sz="4" w:space="0" w:color="auto"/>
            </w:tcBorders>
            <w:shd w:val="clear" w:color="auto" w:fill="DEEAF6" w:themeFill="accent5" w:themeFillTint="33"/>
          </w:tcPr>
          <w:p w14:paraId="5769F1B8" w14:textId="2FF2F693" w:rsidR="001063AD" w:rsidRPr="00FE663E" w:rsidRDefault="001063AD" w:rsidP="00775A14">
            <w:pPr>
              <w:pStyle w:val="1-BodyText"/>
            </w:pPr>
            <w:r w:rsidRPr="00FE663E">
              <w:rPr>
                <w:b/>
                <w:bCs/>
              </w:rPr>
              <w:t>Remaining nets in serviceable condition:</w:t>
            </w:r>
            <w:r w:rsidRPr="00FE663E">
              <w:t xml:space="preserve"> The percentage of </w:t>
            </w:r>
            <w:r>
              <w:t>sampled</w:t>
            </w:r>
            <w:r w:rsidRPr="00FE663E">
              <w:t xml:space="preserve"> nets surviving to date that are still in serviceable physical condition (good or damaged), specifically, with a proportionate hole index of 642 or less.</w:t>
            </w:r>
          </w:p>
          <w:p w14:paraId="166B0FF0" w14:textId="77777777" w:rsidR="001063AD" w:rsidRPr="00FE663E" w:rsidRDefault="001063AD" w:rsidP="00775A14">
            <w:pPr>
              <w:pStyle w:val="1-BodyText"/>
            </w:pPr>
            <w:r w:rsidRPr="00FE663E">
              <w:rPr>
                <w:rFonts w:ascii="Wingdings" w:eastAsia="Wingdings" w:hAnsi="Wingdings" w:cs="Wingdings"/>
              </w:rPr>
              <w:t>à</w:t>
            </w:r>
            <w:r w:rsidRPr="00FE663E">
              <w:t xml:space="preserve"> Provides an estimate of the physical quality of remaining campaign nets.</w:t>
            </w:r>
          </w:p>
        </w:tc>
      </w:tr>
      <w:tr w:rsidR="001063AD" w:rsidRPr="00FE663E" w14:paraId="1E196C2A" w14:textId="77777777" w:rsidTr="00775A14">
        <w:tblPrEx>
          <w:jc w:val="left"/>
          <w:tblLook w:val="04A0" w:firstRow="1" w:lastRow="0" w:firstColumn="1" w:lastColumn="0" w:noHBand="0" w:noVBand="1"/>
        </w:tblPrEx>
        <w:trPr>
          <w:trHeight w:val="292"/>
        </w:trPr>
        <w:tc>
          <w:tcPr>
            <w:tcW w:w="10540" w:type="dxa"/>
          </w:tcPr>
          <w:p w14:paraId="0E6AA3CE" w14:textId="343B372E" w:rsidR="001063AD" w:rsidRPr="00FE663E" w:rsidRDefault="001063AD" w:rsidP="00775A14">
            <w:pPr>
              <w:pStyle w:val="1-BodyText"/>
            </w:pPr>
            <w:r w:rsidRPr="00FE663E">
              <w:rPr>
                <w:b/>
                <w:bCs/>
              </w:rPr>
              <w:t>Remaining nets hanging over sleeping space:</w:t>
            </w:r>
            <w:r w:rsidRPr="00FE663E">
              <w:t xml:space="preserve"> The percentage of </w:t>
            </w:r>
            <w:r>
              <w:t>sampled</w:t>
            </w:r>
            <w:r w:rsidRPr="00FE663E">
              <w:t xml:space="preserve"> nets and, separately, non-</w:t>
            </w:r>
            <w:r>
              <w:t>sampled</w:t>
            </w:r>
            <w:r w:rsidRPr="00FE663E">
              <w:t xml:space="preserve"> nets present in the household that are hanging up, whether tied up or not. </w:t>
            </w:r>
          </w:p>
          <w:p w14:paraId="2C1AE03E" w14:textId="77777777" w:rsidR="001063AD" w:rsidRPr="00FE663E" w:rsidRDefault="001063AD" w:rsidP="00775A14">
            <w:pPr>
              <w:pStyle w:val="1-BodyText"/>
              <w:rPr>
                <w:b/>
                <w:bCs/>
              </w:rPr>
            </w:pPr>
            <w:r w:rsidRPr="00FE663E">
              <w:rPr>
                <w:rFonts w:ascii="Wingdings" w:eastAsia="Wingdings" w:hAnsi="Wingdings" w:cs="Wingdings"/>
              </w:rPr>
              <w:t>à</w:t>
            </w:r>
            <w:r w:rsidRPr="00FE663E">
              <w:t xml:space="preserve"> Provides an estimate of the use of different nets in the household. Households adopt nets newly received from campaigns at different rates. A present net hanging up in the home is an indicator of net use generally, beyond the formal indicator of net use the night before the survey.</w:t>
            </w:r>
            <w:r w:rsidRPr="00FE663E" w:rsidDel="00CB0AD5">
              <w:t xml:space="preserve"> </w:t>
            </w:r>
          </w:p>
        </w:tc>
      </w:tr>
    </w:tbl>
    <w:p w14:paraId="0B4A6ADF" w14:textId="77777777" w:rsidR="00FE663E" w:rsidRPr="00FE663E" w:rsidRDefault="00FE663E" w:rsidP="00FE663E">
      <w:pPr>
        <w:tabs>
          <w:tab w:val="left" w:pos="991"/>
        </w:tabs>
        <w:rPr>
          <w:rFonts w:ascii="Garamond" w:hAnsi="Garamond"/>
        </w:rPr>
      </w:pPr>
    </w:p>
    <w:p w14:paraId="4E3D64C9" w14:textId="77777777" w:rsidR="00405868" w:rsidRPr="00405868" w:rsidRDefault="00405868" w:rsidP="00405868"/>
    <w:bookmarkEnd w:id="0"/>
    <w:p w14:paraId="5C78D73E" w14:textId="77777777" w:rsidR="00405868" w:rsidRPr="00405868" w:rsidRDefault="00405868" w:rsidP="00405868"/>
    <w:sectPr w:rsidR="00405868" w:rsidRPr="00405868" w:rsidSect="00B56E1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6962A" w14:textId="77777777" w:rsidR="002E2E8B" w:rsidRDefault="002E2E8B" w:rsidP="00261961">
      <w:r>
        <w:separator/>
      </w:r>
    </w:p>
  </w:endnote>
  <w:endnote w:type="continuationSeparator" w:id="0">
    <w:p w14:paraId="5A16C18C" w14:textId="77777777" w:rsidR="002E2E8B" w:rsidRDefault="002E2E8B" w:rsidP="00261961">
      <w:r>
        <w:continuationSeparator/>
      </w:r>
    </w:p>
  </w:endnote>
  <w:endnote w:type="continuationNotice" w:id="1">
    <w:p w14:paraId="024CFCD3" w14:textId="77777777" w:rsidR="002E2E8B" w:rsidRDefault="002E2E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swiss"/>
    <w:pitch w:val="variable"/>
    <w:sig w:usb0="00000003" w:usb1="0200E0A0" w:usb2="00000000" w:usb3="00000000" w:csb0="00000001" w:csb1="00000000"/>
  </w:font>
  <w:font w:name="Wingdings">
    <w:panose1 w:val="05000000000000000000"/>
    <w:charset w:val="02"/>
    <w:family w:val="auto"/>
    <w:pitch w:val="variable"/>
    <w:sig w:usb0="00000000" w:usb1="10000000" w:usb2="00000000" w:usb3="00000000" w:csb0="80000000" w:csb1="00000000"/>
  </w:font>
  <w:font w:name="Gill Sans Nova Light">
    <w:charset w:val="00"/>
    <w:family w:val="swiss"/>
    <w:pitch w:val="variable"/>
    <w:sig w:usb0="8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otham Medium">
    <w:altName w:val="Calibri"/>
    <w:panose1 w:val="00000000000000000000"/>
    <w:charset w:val="00"/>
    <w:family w:val="auto"/>
    <w:notTrueType/>
    <w:pitch w:val="variable"/>
    <w:sig w:usb0="A100007F" w:usb1="4000005B" w:usb2="00000000" w:usb3="00000000" w:csb0="0000009B"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5FED" w14:textId="77777777" w:rsidR="00AB7F56" w:rsidRDefault="00AB7F56">
    <w:pPr>
      <w:pBdr>
        <w:top w:val="single" w:sz="12" w:space="1" w:color="002A6C"/>
        <w:left w:val="nil"/>
        <w:bottom w:val="nil"/>
        <w:right w:val="nil"/>
        <w:between w:val="nil"/>
      </w:pBdr>
      <w:tabs>
        <w:tab w:val="center" w:pos="4680"/>
        <w:tab w:val="right" w:pos="9360"/>
      </w:tabs>
      <w:jc w:val="right"/>
      <w:rPr>
        <w:rFonts w:ascii="Gill Sans" w:hAnsi="Gill Sans"/>
        <w:color w:val="000000"/>
      </w:rPr>
    </w:pPr>
    <w:r>
      <w:rPr>
        <w:rFonts w:ascii="Gill Sans" w:hAnsi="Gill Sans"/>
        <w:color w:val="000000"/>
      </w:rPr>
      <w:fldChar w:fldCharType="begin"/>
    </w:r>
    <w:r>
      <w:rPr>
        <w:rFonts w:ascii="Gill Sans" w:eastAsia="Gill Sans" w:hAnsi="Gill Sans" w:cs="Gill Sans"/>
        <w:color w:val="000000"/>
      </w:rPr>
      <w:instrText>PAGE</w:instrText>
    </w:r>
    <w:r>
      <w:rPr>
        <w:rFonts w:ascii="Gill Sans" w:hAnsi="Gill Sans"/>
        <w:color w:val="000000"/>
      </w:rPr>
      <w:fldChar w:fldCharType="separate"/>
    </w:r>
    <w:r>
      <w:rPr>
        <w:rFonts w:ascii="Gill Sans" w:hAnsi="Gill Sans"/>
        <w:noProof/>
        <w:color w:val="000000"/>
      </w:rPr>
      <w:t>2</w:t>
    </w:r>
    <w:r>
      <w:rPr>
        <w:rFonts w:ascii="Gill Sans" w:hAnsi="Gill Sans"/>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4DF94" w14:textId="77777777" w:rsidR="00405868" w:rsidRPr="00261961" w:rsidRDefault="00405868" w:rsidP="00261961">
    <w:pPr>
      <w:pStyle w:val="Footer"/>
      <w:pBdr>
        <w:top w:val="single" w:sz="12" w:space="1" w:color="002A6C"/>
      </w:pBdr>
      <w:jc w:val="right"/>
      <w:rPr>
        <w:rFonts w:ascii="Gill Sans" w:hAnsi="Gill Sans"/>
      </w:rPr>
    </w:pPr>
    <w:r w:rsidRPr="00261961">
      <w:rPr>
        <w:rFonts w:ascii="Gill Sans" w:hAnsi="Gill Sans"/>
      </w:rPr>
      <w:fldChar w:fldCharType="begin"/>
    </w:r>
    <w:r w:rsidRPr="00261961">
      <w:rPr>
        <w:rFonts w:ascii="Gill Sans" w:hAnsi="Gill Sans"/>
      </w:rPr>
      <w:instrText xml:space="preserve"> PAGE   \* MERGEFORMAT </w:instrText>
    </w:r>
    <w:r w:rsidRPr="00261961">
      <w:rPr>
        <w:rFonts w:ascii="Gill Sans" w:hAnsi="Gill Sans"/>
      </w:rPr>
      <w:fldChar w:fldCharType="separate"/>
    </w:r>
    <w:r w:rsidRPr="00261961">
      <w:rPr>
        <w:rFonts w:ascii="Gill Sans" w:hAnsi="Gill Sans"/>
        <w:noProof/>
      </w:rPr>
      <w:t>1</w:t>
    </w:r>
    <w:r w:rsidRPr="00261961">
      <w:rPr>
        <w:rFonts w:ascii="Gill Sans" w:hAnsi="Gill San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61D36" w14:textId="77777777" w:rsidR="002E2E8B" w:rsidRDefault="002E2E8B" w:rsidP="00261961">
      <w:r>
        <w:separator/>
      </w:r>
    </w:p>
  </w:footnote>
  <w:footnote w:type="continuationSeparator" w:id="0">
    <w:p w14:paraId="5A375739" w14:textId="77777777" w:rsidR="002E2E8B" w:rsidRDefault="002E2E8B" w:rsidP="00261961">
      <w:r>
        <w:continuationSeparator/>
      </w:r>
    </w:p>
  </w:footnote>
  <w:footnote w:type="continuationNotice" w:id="1">
    <w:p w14:paraId="3BCBC8BC" w14:textId="77777777" w:rsidR="002E2E8B" w:rsidRDefault="002E2E8B"/>
  </w:footnote>
  <w:footnote w:id="2">
    <w:p w14:paraId="2859BCC3" w14:textId="77777777" w:rsidR="00D337C0" w:rsidRPr="00F63A0E" w:rsidRDefault="00D337C0" w:rsidP="00D337C0">
      <w:pPr>
        <w:rPr>
          <w:rFonts w:ascii="Gill Sans Nova Light" w:hAnsi="Gill Sans Nova Light"/>
          <w:color w:val="000000"/>
          <w:sz w:val="14"/>
          <w:szCs w:val="14"/>
        </w:rPr>
      </w:pPr>
      <w:r w:rsidRPr="004A3C5E">
        <w:rPr>
          <w:rStyle w:val="FootnoteReference"/>
        </w:rPr>
        <w:footnoteRef/>
      </w:r>
      <w:r w:rsidRPr="00F63A0E">
        <w:rPr>
          <w:rFonts w:ascii="Gill Sans Nova Light" w:hAnsi="Gill Sans Nova Light"/>
          <w:color w:val="000000"/>
          <w:sz w:val="14"/>
          <w:szCs w:val="14"/>
        </w:rPr>
        <w:t xml:space="preserve"> Jacky Raharinjatovo et al., “Physical and Insecticidal Durability of Interceptor®, Interceptor® G2, and PermaNet® 3.0 Insecticide-Treated Nets in Burkina Faso: Results of Durability Monitoring in Three Sites from 2019 to 2022,” </w:t>
      </w:r>
      <w:r w:rsidRPr="00F63A0E">
        <w:rPr>
          <w:rFonts w:ascii="Gill Sans Nova Light" w:hAnsi="Gill Sans Nova Light"/>
          <w:i/>
          <w:color w:val="000000"/>
          <w:sz w:val="14"/>
          <w:szCs w:val="14"/>
        </w:rPr>
        <w:t>Malaria Journal</w:t>
      </w:r>
      <w:r w:rsidRPr="00F63A0E">
        <w:rPr>
          <w:rFonts w:ascii="Gill Sans Nova Light" w:hAnsi="Gill Sans Nova Light"/>
          <w:color w:val="000000"/>
          <w:sz w:val="14"/>
          <w:szCs w:val="14"/>
        </w:rPr>
        <w:t xml:space="preserve"> 23, no. 1 (June 4, 2024): 173, </w:t>
      </w:r>
      <w:hyperlink r:id="rId1">
        <w:r w:rsidRPr="00F63A0E">
          <w:rPr>
            <w:rFonts w:ascii="Gill Sans Nova Light" w:hAnsi="Gill Sans Nova Light"/>
            <w:color w:val="0563C1"/>
            <w:sz w:val="14"/>
            <w:szCs w:val="14"/>
            <w:u w:val="single"/>
          </w:rPr>
          <w:t>https://doi.org/10.1186/s12936-024-04989-w</w:t>
        </w:r>
      </w:hyperlink>
      <w:r w:rsidRPr="00F63A0E">
        <w:rPr>
          <w:rFonts w:ascii="Gill Sans Nova Light" w:hAnsi="Gill Sans Nova Light"/>
          <w:color w:val="000000"/>
          <w:sz w:val="14"/>
          <w:szCs w:val="14"/>
        </w:rPr>
        <w:t>.</w:t>
      </w:r>
    </w:p>
  </w:footnote>
  <w:footnote w:id="3">
    <w:p w14:paraId="00663774" w14:textId="77777777" w:rsidR="00846280" w:rsidRPr="000528F3" w:rsidRDefault="00846280" w:rsidP="00846280">
      <w:pPr>
        <w:rPr>
          <w:rFonts w:ascii="Gill Sans Nova Light" w:hAnsi="Gill Sans Nova Light"/>
          <w:sz w:val="14"/>
          <w:szCs w:val="14"/>
          <w:highlight w:val="white"/>
          <w:lang w:val="fr-FR"/>
        </w:rPr>
      </w:pPr>
      <w:r w:rsidRPr="004A3C5E">
        <w:rPr>
          <w:rStyle w:val="FootnoteReference"/>
        </w:rPr>
        <w:footnoteRef/>
      </w:r>
      <w:bookmarkStart w:id="1" w:name="_Hlk216283093"/>
      <w:r w:rsidRPr="00F63A0E">
        <w:rPr>
          <w:rFonts w:ascii="Gill Sans Nova Light" w:hAnsi="Gill Sans Nova Light"/>
          <w:sz w:val="14"/>
          <w:szCs w:val="14"/>
          <w:highlight w:val="white"/>
        </w:rPr>
        <w:t xml:space="preserve">Obi E, Okoh F, Blaufuss S, Olapeju B, Akilah J, Okoko OO, Okechukwu A, Maire M, Popoola K, Yahaya MA, Uneke CJ. Monitoring the physical and insecticidal durability of the long-lasting insecticidal net DawaPlus® 2.0 in three States in Nigeria. </w:t>
      </w:r>
      <w:r w:rsidRPr="000528F3">
        <w:rPr>
          <w:rFonts w:ascii="Gill Sans Nova Light" w:hAnsi="Gill Sans Nova Light"/>
          <w:sz w:val="14"/>
          <w:szCs w:val="14"/>
          <w:highlight w:val="white"/>
          <w:lang w:val="fr-FR"/>
        </w:rPr>
        <w:t>Malaria journal. 2020 Dec; 19:1-9.</w:t>
      </w:r>
      <w:bookmarkEnd w:id="1"/>
    </w:p>
  </w:footnote>
  <w:footnote w:id="4">
    <w:p w14:paraId="6EC4F16E" w14:textId="749E20E4" w:rsidR="003C0AEF" w:rsidRPr="00C175BC" w:rsidRDefault="003C0AEF">
      <w:pPr>
        <w:pStyle w:val="FootnoteText"/>
        <w:rPr>
          <w:lang w:val="pt-PT"/>
        </w:rPr>
      </w:pPr>
      <w:r w:rsidRPr="004A3C5E">
        <w:rPr>
          <w:rStyle w:val="FootnoteReference"/>
        </w:rPr>
        <w:footnoteRef/>
      </w:r>
      <w:r w:rsidRPr="003C0AEF">
        <w:rPr>
          <w:lang w:val="fr-FR"/>
        </w:rPr>
        <w:t xml:space="preserve"> </w:t>
      </w:r>
      <w:r w:rsidRPr="009F65DE">
        <w:rPr>
          <w:rFonts w:ascii="Gill Sans Nova Light" w:hAnsi="Gill Sans Nova Light"/>
          <w:sz w:val="14"/>
          <w:szCs w:val="14"/>
          <w:lang w:val="fr-FR"/>
        </w:rPr>
        <w:t>Sudoi, R.K., Esch, K., Yamba, F. </w:t>
      </w:r>
      <w:r w:rsidRPr="009F65DE">
        <w:rPr>
          <w:rFonts w:ascii="Gill Sans Nova Light" w:hAnsi="Gill Sans Nova Light"/>
          <w:i/>
          <w:iCs/>
          <w:sz w:val="14"/>
          <w:szCs w:val="14"/>
          <w:lang w:val="fr-FR"/>
        </w:rPr>
        <w:t>et al.</w:t>
      </w:r>
      <w:r w:rsidRPr="009F65DE">
        <w:rPr>
          <w:rFonts w:ascii="Gill Sans Nova Light" w:hAnsi="Gill Sans Nova Light"/>
          <w:sz w:val="14"/>
          <w:szCs w:val="14"/>
          <w:lang w:val="fr-FR"/>
        </w:rPr>
        <w:t> </w:t>
      </w:r>
      <w:r w:rsidRPr="009F65DE">
        <w:rPr>
          <w:rFonts w:ascii="Gill Sans Nova Light" w:hAnsi="Gill Sans Nova Light"/>
          <w:sz w:val="14"/>
          <w:szCs w:val="14"/>
        </w:rPr>
        <w:t>Physical and insecticidal durability of PermaNet</w:t>
      </w:r>
      <w:r w:rsidRPr="009F65DE">
        <w:rPr>
          <w:rFonts w:ascii="Gill Sans Nova Light" w:hAnsi="Gill Sans Nova Light"/>
          <w:sz w:val="14"/>
          <w:szCs w:val="14"/>
          <w:vertAlign w:val="superscript"/>
        </w:rPr>
        <w:t>®</w:t>
      </w:r>
      <w:r w:rsidRPr="009F65DE">
        <w:rPr>
          <w:rFonts w:ascii="Gill Sans Nova Light" w:hAnsi="Gill Sans Nova Light"/>
          <w:sz w:val="14"/>
          <w:szCs w:val="14"/>
        </w:rPr>
        <w:t> 3.0 and Olyset</w:t>
      </w:r>
      <w:r w:rsidRPr="009F65DE">
        <w:rPr>
          <w:rFonts w:ascii="Gill Sans Nova Light" w:hAnsi="Gill Sans Nova Light"/>
          <w:sz w:val="14"/>
          <w:szCs w:val="14"/>
          <w:vertAlign w:val="superscript"/>
        </w:rPr>
        <w:t>®</w:t>
      </w:r>
      <w:r w:rsidRPr="009F65DE">
        <w:rPr>
          <w:rFonts w:ascii="Gill Sans Nova Light" w:hAnsi="Gill Sans Nova Light"/>
          <w:sz w:val="14"/>
          <w:szCs w:val="14"/>
        </w:rPr>
        <w:t> plus piperonyl butoxide-synergist insecticide-treated nets in Sierra Leone: results of durability monitoring from 2020 to 2023. </w:t>
      </w:r>
      <w:r w:rsidRPr="00C175BC">
        <w:rPr>
          <w:rFonts w:ascii="Gill Sans Nova Light" w:hAnsi="Gill Sans Nova Light"/>
          <w:i/>
          <w:iCs/>
          <w:sz w:val="14"/>
          <w:szCs w:val="14"/>
          <w:lang w:val="pt-PT"/>
        </w:rPr>
        <w:t>Malar J</w:t>
      </w:r>
      <w:r w:rsidRPr="00C175BC">
        <w:rPr>
          <w:rFonts w:ascii="Gill Sans Nova Light" w:hAnsi="Gill Sans Nova Light"/>
          <w:sz w:val="14"/>
          <w:szCs w:val="14"/>
          <w:lang w:val="pt-PT"/>
        </w:rPr>
        <w:t> </w:t>
      </w:r>
      <w:r w:rsidRPr="00C175BC">
        <w:rPr>
          <w:rFonts w:ascii="Gill Sans Nova Light" w:hAnsi="Gill Sans Nova Light"/>
          <w:b/>
          <w:bCs/>
          <w:sz w:val="14"/>
          <w:szCs w:val="14"/>
          <w:lang w:val="pt-PT"/>
        </w:rPr>
        <w:t>24</w:t>
      </w:r>
      <w:r w:rsidRPr="00C175BC">
        <w:rPr>
          <w:rFonts w:ascii="Gill Sans Nova Light" w:hAnsi="Gill Sans Nova Light"/>
          <w:sz w:val="14"/>
          <w:szCs w:val="14"/>
          <w:lang w:val="pt-PT"/>
        </w:rPr>
        <w:t xml:space="preserve">, 230 (2025). </w:t>
      </w:r>
      <w:hyperlink r:id="rId2" w:history="1">
        <w:r w:rsidRPr="00C175BC">
          <w:rPr>
            <w:rStyle w:val="Hyperlink"/>
            <w:rFonts w:ascii="Gill Sans Nova Light" w:hAnsi="Gill Sans Nova Light"/>
            <w:sz w:val="14"/>
            <w:szCs w:val="14"/>
            <w:lang w:val="pt-PT"/>
          </w:rPr>
          <w:t>https://doi.org/10.1186/s12936-025-05421-7</w:t>
        </w:r>
      </w:hyperlink>
      <w:r w:rsidRPr="00C175BC">
        <w:rPr>
          <w:lang w:val="pt-PT"/>
        </w:rPr>
        <w:t>.</w:t>
      </w:r>
    </w:p>
  </w:footnote>
  <w:footnote w:id="5">
    <w:p w14:paraId="6C6A1B1B" w14:textId="77777777" w:rsidR="00846280" w:rsidRPr="00F63A0E" w:rsidRDefault="00846280" w:rsidP="00846280">
      <w:pPr>
        <w:rPr>
          <w:rFonts w:ascii="Gill Sans Nova Light" w:hAnsi="Gill Sans Nova Light"/>
          <w:color w:val="000000"/>
          <w:sz w:val="14"/>
          <w:szCs w:val="14"/>
        </w:rPr>
      </w:pPr>
      <w:r w:rsidRPr="004A3C5E">
        <w:rPr>
          <w:rStyle w:val="FootnoteReference"/>
        </w:rPr>
        <w:footnoteRef/>
      </w:r>
      <w:r w:rsidRPr="00F63A0E">
        <w:rPr>
          <w:rFonts w:ascii="Gill Sans Nova Light" w:hAnsi="Gill Sans Nova Light"/>
          <w:color w:val="000000"/>
          <w:sz w:val="14"/>
          <w:szCs w:val="14"/>
          <w:lang w:val="pt-PT"/>
        </w:rPr>
        <w:t xml:space="preserve"> Haji KA, Khatib BO, Obi E, Dimoso K, Koenker H, Babalola S, et al. </w:t>
      </w:r>
      <w:r w:rsidRPr="00F63A0E">
        <w:rPr>
          <w:rFonts w:ascii="Gill Sans Nova Light" w:hAnsi="Gill Sans Nova Light"/>
          <w:color w:val="000000"/>
          <w:sz w:val="14"/>
          <w:szCs w:val="14"/>
        </w:rPr>
        <w:t>Monitoring the durability of the long lasting insecticidal nets Olyset® and PermaNet® 2.0 in similar use environments in Zanzibar. Malar J. 2020 May 24;19(1):187.</w:t>
      </w:r>
    </w:p>
  </w:footnote>
  <w:footnote w:id="6">
    <w:p w14:paraId="0DC43603" w14:textId="77777777" w:rsidR="00846280" w:rsidRPr="00F63A0E" w:rsidRDefault="00846280" w:rsidP="00846280">
      <w:pPr>
        <w:rPr>
          <w:rFonts w:ascii="Gill Sans Nova Light" w:hAnsi="Gill Sans Nova Light"/>
          <w:color w:val="000000"/>
          <w:sz w:val="22"/>
          <w:szCs w:val="22"/>
        </w:rPr>
      </w:pPr>
      <w:r w:rsidRPr="004A3C5E">
        <w:rPr>
          <w:rStyle w:val="FootnoteReference"/>
        </w:rPr>
        <w:footnoteRef/>
      </w:r>
      <w:r w:rsidRPr="000528F3">
        <w:rPr>
          <w:rFonts w:ascii="Gill Sans Nova Light" w:hAnsi="Gill Sans Nova Light"/>
          <w:color w:val="000000"/>
          <w:sz w:val="14"/>
          <w:szCs w:val="14"/>
        </w:rPr>
        <w:t xml:space="preserve"> Atieli, F.K., Munga, S.O., Ofulla, A.V. et al. </w:t>
      </w:r>
      <w:r w:rsidRPr="00F63A0E">
        <w:rPr>
          <w:rFonts w:ascii="Gill Sans Nova Light" w:hAnsi="Gill Sans Nova Light"/>
          <w:color w:val="000000"/>
          <w:sz w:val="14"/>
          <w:szCs w:val="14"/>
        </w:rPr>
        <w:t>Wash durability and optimal drying regimen of four brands of long-lasting insecticide-treated nets after repeated washing under tropical conditions. Malar J 9, 248 (2010). https://doi.org/10.1186/1475-2875-9-248</w:t>
      </w:r>
    </w:p>
  </w:footnote>
  <w:footnote w:id="7">
    <w:p w14:paraId="3B63E906" w14:textId="77777777" w:rsidR="00AB7F56" w:rsidRDefault="00AB7F56" w:rsidP="00AB7F56">
      <w:pPr>
        <w:rPr>
          <w:highlight w:val="white"/>
        </w:rPr>
      </w:pPr>
      <w:r w:rsidRPr="004A3C5E">
        <w:rPr>
          <w:rStyle w:val="FootnoteReference"/>
        </w:rPr>
        <w:footnoteRef/>
      </w:r>
      <w:r w:rsidRPr="00F63A0E">
        <w:rPr>
          <w:rFonts w:ascii="Gill Sans Nova Light" w:hAnsi="Gill Sans Nova Light"/>
          <w:color w:val="000000"/>
          <w:sz w:val="12"/>
          <w:szCs w:val="12"/>
        </w:rPr>
        <w:t xml:space="preserve"> </w:t>
      </w:r>
      <w:r w:rsidRPr="00F63A0E">
        <w:rPr>
          <w:rFonts w:ascii="Gill Sans Nova Light" w:hAnsi="Gill Sans Nova Light"/>
          <w:sz w:val="14"/>
          <w:szCs w:val="14"/>
          <w:highlight w:val="white"/>
        </w:rPr>
        <w:t>Castellanos ME, Rodas S, Juárez JG, Lol JC, Chanquin S, Morales Z, Vizcaino L, Smith SC, Vanden Eng J, Woldu HG, Lenhart A. Evaluation of the durability of long</w:t>
      </w:r>
      <w:r w:rsidRPr="00F63A0E">
        <w:rPr>
          <w:rFonts w:ascii="Cambria Math" w:eastAsia="Cambria Math" w:hAnsi="Cambria Math" w:cs="Cambria Math"/>
          <w:sz w:val="14"/>
          <w:szCs w:val="14"/>
          <w:highlight w:val="white"/>
        </w:rPr>
        <w:t>‐</w:t>
      </w:r>
      <w:r w:rsidRPr="00F63A0E">
        <w:rPr>
          <w:rFonts w:ascii="Gill Sans Nova Light" w:hAnsi="Gill Sans Nova Light"/>
          <w:sz w:val="14"/>
          <w:szCs w:val="14"/>
          <w:highlight w:val="white"/>
        </w:rPr>
        <w:t>lasting insecticidal nets in Guatemala. Malaria Journal. 2021 May 14;20(1):219.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213A7"/>
    <w:multiLevelType w:val="multilevel"/>
    <w:tmpl w:val="29FABCFC"/>
    <w:lvl w:ilvl="0">
      <w:numFmt w:val="bullet"/>
      <w:lvlText w:val="-"/>
      <w:lvlJc w:val="left"/>
      <w:pPr>
        <w:ind w:left="720" w:hanging="360"/>
      </w:pPr>
      <w:rPr>
        <w:rFonts w:ascii="Gill Sans" w:eastAsia="Gill Sans" w:hAnsi="Gill Sans" w:cs="Gill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614C87"/>
    <w:multiLevelType w:val="hybridMultilevel"/>
    <w:tmpl w:val="3DB81464"/>
    <w:lvl w:ilvl="0" w:tplc="9DC4E296">
      <w:numFmt w:val="bullet"/>
      <w:lvlText w:val=""/>
      <w:lvlJc w:val="left"/>
      <w:pPr>
        <w:ind w:left="360" w:hanging="360"/>
      </w:pPr>
      <w:rPr>
        <w:rFonts w:ascii="Wingdings" w:eastAsia="Gill Sans" w:hAnsi="Wingdings" w:cs="Gill Sans Nova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A0E030D"/>
    <w:multiLevelType w:val="multilevel"/>
    <w:tmpl w:val="17E2874E"/>
    <w:lvl w:ilvl="0">
      <w:start w:val="1"/>
      <w:numFmt w:val="decimal"/>
      <w:lvlText w:val="%1."/>
      <w:lvlJc w:val="left"/>
      <w:pPr>
        <w:tabs>
          <w:tab w:val="num" w:pos="-144"/>
        </w:tabs>
        <w:ind w:left="-144" w:hanging="720"/>
      </w:pPr>
      <w:rPr>
        <w:rFonts w:ascii="Gill Sans MT" w:hAnsi="Gill Sans MT" w:hint="default"/>
        <w:b w:val="0"/>
        <w:i w:val="0"/>
        <w:sz w:val="60"/>
      </w:rPr>
    </w:lvl>
    <w:lvl w:ilvl="1">
      <w:start w:val="1"/>
      <w:numFmt w:val="decimal"/>
      <w:lvlText w:val="%1.%2"/>
      <w:lvlJc w:val="left"/>
      <w:pPr>
        <w:tabs>
          <w:tab w:val="num" w:pos="0"/>
        </w:tabs>
        <w:ind w:left="0" w:hanging="864"/>
      </w:pPr>
      <w:rPr>
        <w:rFonts w:ascii="Gill Sans MT" w:hAnsi="Gill Sans MT" w:hint="default"/>
        <w:b/>
        <w:i w:val="0"/>
        <w:sz w:val="28"/>
      </w:rPr>
    </w:lvl>
    <w:lvl w:ilvl="2">
      <w:start w:val="1"/>
      <w:numFmt w:val="decimal"/>
      <w:lvlText w:val="%1.%2.%3"/>
      <w:lvlJc w:val="left"/>
      <w:pPr>
        <w:tabs>
          <w:tab w:val="num" w:pos="864"/>
        </w:tabs>
        <w:ind w:left="864" w:hanging="864"/>
      </w:pPr>
      <w:rPr>
        <w:rFonts w:ascii="Gill Sans MT" w:hAnsi="Gill Sans MT" w:hint="default"/>
        <w:b/>
        <w:i w:val="0"/>
        <w:sz w:val="24"/>
      </w:rPr>
    </w:lvl>
    <w:lvl w:ilvl="3">
      <w:start w:val="1"/>
      <w:numFmt w:val="decimal"/>
      <w:lvlText w:val="%1.%2.%3.%4"/>
      <w:lvlJc w:val="left"/>
      <w:pPr>
        <w:tabs>
          <w:tab w:val="num" w:pos="2304"/>
        </w:tabs>
        <w:ind w:left="1296" w:hanging="432"/>
      </w:pPr>
      <w:rPr>
        <w:rFonts w:hint="default"/>
      </w:rPr>
    </w:lvl>
    <w:lvl w:ilvl="4">
      <w:start w:val="1"/>
      <w:numFmt w:val="decimal"/>
      <w:lvlText w:val="%1.%2.%3.%4.%5."/>
      <w:lvlJc w:val="left"/>
      <w:pPr>
        <w:tabs>
          <w:tab w:val="num" w:pos="3816"/>
        </w:tabs>
        <w:ind w:left="1368" w:hanging="792"/>
      </w:pPr>
      <w:rPr>
        <w:rFonts w:hint="default"/>
      </w:rPr>
    </w:lvl>
    <w:lvl w:ilvl="5">
      <w:start w:val="1"/>
      <w:numFmt w:val="decimal"/>
      <w:lvlText w:val="%1.%2.%3.%4.%5.%6."/>
      <w:lvlJc w:val="left"/>
      <w:pPr>
        <w:tabs>
          <w:tab w:val="num" w:pos="4536"/>
        </w:tabs>
        <w:ind w:left="1872" w:hanging="936"/>
      </w:pPr>
      <w:rPr>
        <w:rFonts w:hint="default"/>
      </w:rPr>
    </w:lvl>
    <w:lvl w:ilvl="6">
      <w:start w:val="1"/>
      <w:numFmt w:val="decimal"/>
      <w:lvlText w:val="%1.%2.%3.%4.%5.%6.%7."/>
      <w:lvlJc w:val="left"/>
      <w:pPr>
        <w:tabs>
          <w:tab w:val="num" w:pos="5616"/>
        </w:tabs>
        <w:ind w:left="2376" w:hanging="1080"/>
      </w:pPr>
      <w:rPr>
        <w:rFonts w:hint="default"/>
      </w:rPr>
    </w:lvl>
    <w:lvl w:ilvl="7">
      <w:start w:val="1"/>
      <w:numFmt w:val="decimal"/>
      <w:lvlText w:val="%1.%2.%3.%4.%5.%6.%7.%8."/>
      <w:lvlJc w:val="left"/>
      <w:pPr>
        <w:tabs>
          <w:tab w:val="num" w:pos="6696"/>
        </w:tabs>
        <w:ind w:left="2880" w:hanging="1224"/>
      </w:pPr>
      <w:rPr>
        <w:rFonts w:hint="default"/>
      </w:rPr>
    </w:lvl>
    <w:lvl w:ilvl="8">
      <w:start w:val="1"/>
      <w:numFmt w:val="decimal"/>
      <w:lvlText w:val="%1.%2.%3.%4.%5.%6.%7.%8.%9."/>
      <w:lvlJc w:val="left"/>
      <w:pPr>
        <w:tabs>
          <w:tab w:val="num" w:pos="7416"/>
        </w:tabs>
        <w:ind w:left="3456" w:hanging="1440"/>
      </w:pPr>
      <w:rPr>
        <w:rFonts w:hint="default"/>
      </w:rPr>
    </w:lvl>
  </w:abstractNum>
  <w:abstractNum w:abstractNumId="3" w15:restartNumberingAfterBreak="0">
    <w:nsid w:val="4628422B"/>
    <w:multiLevelType w:val="hybridMultilevel"/>
    <w:tmpl w:val="39329F92"/>
    <w:lvl w:ilvl="0" w:tplc="8F4AB3C6">
      <w:numFmt w:val="bullet"/>
      <w:lvlText w:val="-"/>
      <w:lvlJc w:val="left"/>
      <w:pPr>
        <w:ind w:left="720" w:hanging="360"/>
      </w:pPr>
      <w:rPr>
        <w:rFonts w:ascii="Gill Sans Nova Light" w:eastAsiaTheme="minorHAnsi" w:hAnsi="Gill Sans Nova Light"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9A74B8"/>
    <w:multiLevelType w:val="multilevel"/>
    <w:tmpl w:val="A39631E4"/>
    <w:lvl w:ilvl="0">
      <w:start w:val="1"/>
      <w:numFmt w:val="decimal"/>
      <w:pStyle w:val="Heading1"/>
      <w:lvlText w:val="%1."/>
      <w:lvlJc w:val="left"/>
      <w:pPr>
        <w:ind w:left="2052" w:hanging="432"/>
      </w:pPr>
      <w:rPr>
        <w:rFonts w:hint="default"/>
      </w:rPr>
    </w:lvl>
    <w:lvl w:ilvl="1">
      <w:start w:val="1"/>
      <w:numFmt w:val="decimal"/>
      <w:pStyle w:val="Heading2"/>
      <w:lvlText w:val="%1.%2"/>
      <w:lvlJc w:val="left"/>
      <w:pPr>
        <w:ind w:left="3276" w:hanging="576"/>
      </w:pPr>
      <w:rPr>
        <w:rFonts w:hint="default"/>
      </w:rPr>
    </w:lvl>
    <w:lvl w:ilvl="2">
      <w:start w:val="1"/>
      <w:numFmt w:val="decimal"/>
      <w:pStyle w:val="Heading3"/>
      <w:lvlText w:val="%1.%2.%3"/>
      <w:lvlJc w:val="left"/>
      <w:pPr>
        <w:ind w:left="2340" w:hanging="720"/>
      </w:pPr>
      <w:rPr>
        <w:rFonts w:hint="default"/>
      </w:rPr>
    </w:lvl>
    <w:lvl w:ilvl="3">
      <w:start w:val="1"/>
      <w:numFmt w:val="decimal"/>
      <w:pStyle w:val="Heading4"/>
      <w:lvlText w:val="%1.%2.%3.%4"/>
      <w:lvlJc w:val="left"/>
      <w:pPr>
        <w:ind w:left="2484" w:hanging="864"/>
      </w:pPr>
      <w:rPr>
        <w:rFonts w:hint="default"/>
      </w:rPr>
    </w:lvl>
    <w:lvl w:ilvl="4">
      <w:start w:val="1"/>
      <w:numFmt w:val="decimal"/>
      <w:pStyle w:val="Heading5"/>
      <w:lvlText w:val="%1.%2.%3.%4.%5"/>
      <w:lvlJc w:val="left"/>
      <w:pPr>
        <w:ind w:left="2628" w:hanging="1008"/>
      </w:pPr>
      <w:rPr>
        <w:rFonts w:hint="default"/>
      </w:rPr>
    </w:lvl>
    <w:lvl w:ilvl="5">
      <w:start w:val="1"/>
      <w:numFmt w:val="decimal"/>
      <w:pStyle w:val="Heading6"/>
      <w:lvlText w:val="%1.%2.%3.%4.%5.%6"/>
      <w:lvlJc w:val="left"/>
      <w:pPr>
        <w:ind w:left="2772" w:hanging="1152"/>
      </w:pPr>
      <w:rPr>
        <w:rFonts w:hint="default"/>
      </w:rPr>
    </w:lvl>
    <w:lvl w:ilvl="6">
      <w:start w:val="1"/>
      <w:numFmt w:val="decimal"/>
      <w:pStyle w:val="Heading7"/>
      <w:lvlText w:val="%1.%2.%3.%4.%5.%6.%7"/>
      <w:lvlJc w:val="left"/>
      <w:pPr>
        <w:ind w:left="2916" w:hanging="1296"/>
      </w:pPr>
      <w:rPr>
        <w:rFonts w:hint="default"/>
      </w:rPr>
    </w:lvl>
    <w:lvl w:ilvl="7">
      <w:start w:val="1"/>
      <w:numFmt w:val="decimal"/>
      <w:pStyle w:val="Heading8"/>
      <w:lvlText w:val="%1.%2.%3.%4.%5.%6.%7.%8"/>
      <w:lvlJc w:val="left"/>
      <w:pPr>
        <w:ind w:left="3060" w:hanging="1440"/>
      </w:pPr>
      <w:rPr>
        <w:rFonts w:hint="default"/>
      </w:rPr>
    </w:lvl>
    <w:lvl w:ilvl="8">
      <w:start w:val="1"/>
      <w:numFmt w:val="decimal"/>
      <w:pStyle w:val="Heading9"/>
      <w:lvlText w:val="%1.%2.%3.%4.%5.%6.%7.%8.%9"/>
      <w:lvlJc w:val="left"/>
      <w:pPr>
        <w:ind w:left="3204" w:hanging="1584"/>
      </w:pPr>
      <w:rPr>
        <w:rFonts w:hint="default"/>
      </w:rPr>
    </w:lvl>
  </w:abstractNum>
  <w:num w:numId="1" w16cid:durableId="835152966">
    <w:abstractNumId w:val="2"/>
  </w:num>
  <w:num w:numId="2" w16cid:durableId="571239555">
    <w:abstractNumId w:val="4"/>
  </w:num>
  <w:num w:numId="3" w16cid:durableId="13566875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90366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2016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685670">
    <w:abstractNumId w:val="3"/>
  </w:num>
  <w:num w:numId="7" w16cid:durableId="1520388211">
    <w:abstractNumId w:val="0"/>
  </w:num>
  <w:num w:numId="8" w16cid:durableId="1253858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5C8"/>
    <w:rsid w:val="000016BC"/>
    <w:rsid w:val="00001EAC"/>
    <w:rsid w:val="00002633"/>
    <w:rsid w:val="00002E9B"/>
    <w:rsid w:val="00004701"/>
    <w:rsid w:val="000064FE"/>
    <w:rsid w:val="000079B2"/>
    <w:rsid w:val="00020481"/>
    <w:rsid w:val="00022C77"/>
    <w:rsid w:val="000255F2"/>
    <w:rsid w:val="000304EC"/>
    <w:rsid w:val="0003079D"/>
    <w:rsid w:val="0003082B"/>
    <w:rsid w:val="00030884"/>
    <w:rsid w:val="00031D53"/>
    <w:rsid w:val="000321BE"/>
    <w:rsid w:val="00034664"/>
    <w:rsid w:val="00036049"/>
    <w:rsid w:val="00037603"/>
    <w:rsid w:val="00037FA6"/>
    <w:rsid w:val="000440BC"/>
    <w:rsid w:val="00044BAF"/>
    <w:rsid w:val="000473DE"/>
    <w:rsid w:val="000528F3"/>
    <w:rsid w:val="00056CAB"/>
    <w:rsid w:val="00060A43"/>
    <w:rsid w:val="000631B3"/>
    <w:rsid w:val="00063613"/>
    <w:rsid w:val="00064DCC"/>
    <w:rsid w:val="0006584E"/>
    <w:rsid w:val="0006585F"/>
    <w:rsid w:val="000665D4"/>
    <w:rsid w:val="00067E2F"/>
    <w:rsid w:val="000727E5"/>
    <w:rsid w:val="00075FA5"/>
    <w:rsid w:val="000765CD"/>
    <w:rsid w:val="00084701"/>
    <w:rsid w:val="00085468"/>
    <w:rsid w:val="0008699C"/>
    <w:rsid w:val="00087E78"/>
    <w:rsid w:val="00091FE5"/>
    <w:rsid w:val="00092528"/>
    <w:rsid w:val="000A0F79"/>
    <w:rsid w:val="000A41A5"/>
    <w:rsid w:val="000A76E0"/>
    <w:rsid w:val="000B196C"/>
    <w:rsid w:val="000D0F02"/>
    <w:rsid w:val="000D1748"/>
    <w:rsid w:val="000D4ED4"/>
    <w:rsid w:val="000E2A87"/>
    <w:rsid w:val="000E4014"/>
    <w:rsid w:val="000F1359"/>
    <w:rsid w:val="000F355D"/>
    <w:rsid w:val="000F53A4"/>
    <w:rsid w:val="000F5586"/>
    <w:rsid w:val="000F68B0"/>
    <w:rsid w:val="000F7428"/>
    <w:rsid w:val="0010130F"/>
    <w:rsid w:val="00103F4A"/>
    <w:rsid w:val="001063AD"/>
    <w:rsid w:val="0011070A"/>
    <w:rsid w:val="00112892"/>
    <w:rsid w:val="001138C2"/>
    <w:rsid w:val="001147BA"/>
    <w:rsid w:val="00116072"/>
    <w:rsid w:val="00121EAE"/>
    <w:rsid w:val="0012445D"/>
    <w:rsid w:val="00124E66"/>
    <w:rsid w:val="00133EA2"/>
    <w:rsid w:val="0013658A"/>
    <w:rsid w:val="00140076"/>
    <w:rsid w:val="001415C8"/>
    <w:rsid w:val="0014522D"/>
    <w:rsid w:val="001611D9"/>
    <w:rsid w:val="00162008"/>
    <w:rsid w:val="00162561"/>
    <w:rsid w:val="00162FA5"/>
    <w:rsid w:val="00164BF6"/>
    <w:rsid w:val="00164E1B"/>
    <w:rsid w:val="00170135"/>
    <w:rsid w:val="001707AD"/>
    <w:rsid w:val="001724D8"/>
    <w:rsid w:val="00187DAA"/>
    <w:rsid w:val="00192053"/>
    <w:rsid w:val="0019603E"/>
    <w:rsid w:val="00197694"/>
    <w:rsid w:val="001A6C41"/>
    <w:rsid w:val="001B3BB1"/>
    <w:rsid w:val="001B427A"/>
    <w:rsid w:val="001B620F"/>
    <w:rsid w:val="001C1BB6"/>
    <w:rsid w:val="001C4E64"/>
    <w:rsid w:val="001D266A"/>
    <w:rsid w:val="001D38AA"/>
    <w:rsid w:val="001E0289"/>
    <w:rsid w:val="001E1B87"/>
    <w:rsid w:val="001E3837"/>
    <w:rsid w:val="001E6A99"/>
    <w:rsid w:val="001E7681"/>
    <w:rsid w:val="001F304C"/>
    <w:rsid w:val="001F44FC"/>
    <w:rsid w:val="00201363"/>
    <w:rsid w:val="00212447"/>
    <w:rsid w:val="00213991"/>
    <w:rsid w:val="00215F35"/>
    <w:rsid w:val="00217144"/>
    <w:rsid w:val="00227A2D"/>
    <w:rsid w:val="00233A64"/>
    <w:rsid w:val="00234DD3"/>
    <w:rsid w:val="00240FD0"/>
    <w:rsid w:val="00243766"/>
    <w:rsid w:val="00245242"/>
    <w:rsid w:val="0025076D"/>
    <w:rsid w:val="002522D9"/>
    <w:rsid w:val="00255A88"/>
    <w:rsid w:val="00261961"/>
    <w:rsid w:val="00262FD8"/>
    <w:rsid w:val="0026711D"/>
    <w:rsid w:val="00274410"/>
    <w:rsid w:val="00276551"/>
    <w:rsid w:val="0027767C"/>
    <w:rsid w:val="002807CD"/>
    <w:rsid w:val="00281975"/>
    <w:rsid w:val="0028716F"/>
    <w:rsid w:val="002932CA"/>
    <w:rsid w:val="00293C0D"/>
    <w:rsid w:val="002A3B14"/>
    <w:rsid w:val="002A516E"/>
    <w:rsid w:val="002A62F8"/>
    <w:rsid w:val="002C60F4"/>
    <w:rsid w:val="002C7C08"/>
    <w:rsid w:val="002D7708"/>
    <w:rsid w:val="002E2CCE"/>
    <w:rsid w:val="002E2E8B"/>
    <w:rsid w:val="002F0490"/>
    <w:rsid w:val="002F069D"/>
    <w:rsid w:val="002F2273"/>
    <w:rsid w:val="002F45B6"/>
    <w:rsid w:val="002F7B88"/>
    <w:rsid w:val="003003BB"/>
    <w:rsid w:val="00304B3F"/>
    <w:rsid w:val="00307443"/>
    <w:rsid w:val="00310627"/>
    <w:rsid w:val="0032044A"/>
    <w:rsid w:val="00321519"/>
    <w:rsid w:val="00325109"/>
    <w:rsid w:val="00327578"/>
    <w:rsid w:val="00327E5F"/>
    <w:rsid w:val="00327FED"/>
    <w:rsid w:val="003314EA"/>
    <w:rsid w:val="003464A3"/>
    <w:rsid w:val="00350403"/>
    <w:rsid w:val="003627ED"/>
    <w:rsid w:val="003630F6"/>
    <w:rsid w:val="003648C9"/>
    <w:rsid w:val="00365909"/>
    <w:rsid w:val="00371003"/>
    <w:rsid w:val="00371133"/>
    <w:rsid w:val="00377B0B"/>
    <w:rsid w:val="00381B19"/>
    <w:rsid w:val="00381B42"/>
    <w:rsid w:val="00381BE1"/>
    <w:rsid w:val="00381FD6"/>
    <w:rsid w:val="003934BF"/>
    <w:rsid w:val="003937E4"/>
    <w:rsid w:val="003A3AD7"/>
    <w:rsid w:val="003A4FDC"/>
    <w:rsid w:val="003A546C"/>
    <w:rsid w:val="003A55D7"/>
    <w:rsid w:val="003A659E"/>
    <w:rsid w:val="003B4921"/>
    <w:rsid w:val="003B5650"/>
    <w:rsid w:val="003C0AEF"/>
    <w:rsid w:val="003C42A1"/>
    <w:rsid w:val="003C4996"/>
    <w:rsid w:val="003C6FD1"/>
    <w:rsid w:val="003D0282"/>
    <w:rsid w:val="003D0409"/>
    <w:rsid w:val="003D1D6E"/>
    <w:rsid w:val="003D5519"/>
    <w:rsid w:val="003D55E2"/>
    <w:rsid w:val="003D79E7"/>
    <w:rsid w:val="003D7A13"/>
    <w:rsid w:val="003E278A"/>
    <w:rsid w:val="003F01CD"/>
    <w:rsid w:val="003F1869"/>
    <w:rsid w:val="003F299B"/>
    <w:rsid w:val="003F2A40"/>
    <w:rsid w:val="003F39E1"/>
    <w:rsid w:val="003F5011"/>
    <w:rsid w:val="004000B5"/>
    <w:rsid w:val="00405868"/>
    <w:rsid w:val="00410F7B"/>
    <w:rsid w:val="00412010"/>
    <w:rsid w:val="004134BD"/>
    <w:rsid w:val="00413733"/>
    <w:rsid w:val="00413E47"/>
    <w:rsid w:val="00415A38"/>
    <w:rsid w:val="00421056"/>
    <w:rsid w:val="004213EA"/>
    <w:rsid w:val="0042444B"/>
    <w:rsid w:val="00430085"/>
    <w:rsid w:val="004304FE"/>
    <w:rsid w:val="00434065"/>
    <w:rsid w:val="0043521F"/>
    <w:rsid w:val="0043647D"/>
    <w:rsid w:val="00436A2E"/>
    <w:rsid w:val="00444390"/>
    <w:rsid w:val="00447948"/>
    <w:rsid w:val="004531B9"/>
    <w:rsid w:val="00460641"/>
    <w:rsid w:val="0046304E"/>
    <w:rsid w:val="004656B9"/>
    <w:rsid w:val="0046695B"/>
    <w:rsid w:val="004717B0"/>
    <w:rsid w:val="00473236"/>
    <w:rsid w:val="00476DF8"/>
    <w:rsid w:val="00480390"/>
    <w:rsid w:val="0048268C"/>
    <w:rsid w:val="00492338"/>
    <w:rsid w:val="004933F3"/>
    <w:rsid w:val="00495FEB"/>
    <w:rsid w:val="004A0330"/>
    <w:rsid w:val="004A3C5E"/>
    <w:rsid w:val="004A4023"/>
    <w:rsid w:val="004A54F1"/>
    <w:rsid w:val="004B00AD"/>
    <w:rsid w:val="004B23F8"/>
    <w:rsid w:val="004B5599"/>
    <w:rsid w:val="004B747C"/>
    <w:rsid w:val="004C3631"/>
    <w:rsid w:val="004C549C"/>
    <w:rsid w:val="004D15BF"/>
    <w:rsid w:val="004D3E86"/>
    <w:rsid w:val="004D40AE"/>
    <w:rsid w:val="004E31D9"/>
    <w:rsid w:val="004E6744"/>
    <w:rsid w:val="004F5251"/>
    <w:rsid w:val="004F639C"/>
    <w:rsid w:val="00501074"/>
    <w:rsid w:val="00501E0B"/>
    <w:rsid w:val="00502C6D"/>
    <w:rsid w:val="005052E3"/>
    <w:rsid w:val="00505ABC"/>
    <w:rsid w:val="00511B1B"/>
    <w:rsid w:val="00512029"/>
    <w:rsid w:val="00520F9C"/>
    <w:rsid w:val="00521B8F"/>
    <w:rsid w:val="0052500C"/>
    <w:rsid w:val="00532CFD"/>
    <w:rsid w:val="00534B59"/>
    <w:rsid w:val="00535925"/>
    <w:rsid w:val="00536C85"/>
    <w:rsid w:val="00537BB7"/>
    <w:rsid w:val="005434F8"/>
    <w:rsid w:val="00544B0D"/>
    <w:rsid w:val="00547C9A"/>
    <w:rsid w:val="00553887"/>
    <w:rsid w:val="005539A4"/>
    <w:rsid w:val="00554374"/>
    <w:rsid w:val="00554F20"/>
    <w:rsid w:val="0055732E"/>
    <w:rsid w:val="00566312"/>
    <w:rsid w:val="00566B1F"/>
    <w:rsid w:val="005722C7"/>
    <w:rsid w:val="00573076"/>
    <w:rsid w:val="00574703"/>
    <w:rsid w:val="005818F9"/>
    <w:rsid w:val="005878D2"/>
    <w:rsid w:val="00597571"/>
    <w:rsid w:val="005A04B6"/>
    <w:rsid w:val="005B1BB3"/>
    <w:rsid w:val="005B1E7B"/>
    <w:rsid w:val="005B2AFA"/>
    <w:rsid w:val="005B7ED8"/>
    <w:rsid w:val="005C431D"/>
    <w:rsid w:val="005C5BF9"/>
    <w:rsid w:val="005C78FA"/>
    <w:rsid w:val="005D060A"/>
    <w:rsid w:val="005D2B69"/>
    <w:rsid w:val="005D4782"/>
    <w:rsid w:val="005D488B"/>
    <w:rsid w:val="005E657F"/>
    <w:rsid w:val="005E70C3"/>
    <w:rsid w:val="005E764B"/>
    <w:rsid w:val="005F725B"/>
    <w:rsid w:val="00604CFA"/>
    <w:rsid w:val="00607A03"/>
    <w:rsid w:val="00607D8F"/>
    <w:rsid w:val="006158BA"/>
    <w:rsid w:val="00616332"/>
    <w:rsid w:val="00616B9D"/>
    <w:rsid w:val="00620298"/>
    <w:rsid w:val="00622A1E"/>
    <w:rsid w:val="0062384A"/>
    <w:rsid w:val="00626029"/>
    <w:rsid w:val="00627A6F"/>
    <w:rsid w:val="00627A81"/>
    <w:rsid w:val="0064447F"/>
    <w:rsid w:val="006525F8"/>
    <w:rsid w:val="006562AA"/>
    <w:rsid w:val="006576A0"/>
    <w:rsid w:val="006578F3"/>
    <w:rsid w:val="006606F3"/>
    <w:rsid w:val="00661BDC"/>
    <w:rsid w:val="00663707"/>
    <w:rsid w:val="006659E3"/>
    <w:rsid w:val="006666CF"/>
    <w:rsid w:val="00672525"/>
    <w:rsid w:val="00675DDA"/>
    <w:rsid w:val="00676B56"/>
    <w:rsid w:val="00681F1C"/>
    <w:rsid w:val="00683D48"/>
    <w:rsid w:val="006911DF"/>
    <w:rsid w:val="00694258"/>
    <w:rsid w:val="006975A3"/>
    <w:rsid w:val="006A2478"/>
    <w:rsid w:val="006A31F2"/>
    <w:rsid w:val="006A4D9C"/>
    <w:rsid w:val="006B4162"/>
    <w:rsid w:val="006D4580"/>
    <w:rsid w:val="006D4DE9"/>
    <w:rsid w:val="006D5738"/>
    <w:rsid w:val="006D634F"/>
    <w:rsid w:val="006D6B23"/>
    <w:rsid w:val="006D7451"/>
    <w:rsid w:val="006E0F90"/>
    <w:rsid w:val="006E3F45"/>
    <w:rsid w:val="006E4D41"/>
    <w:rsid w:val="006E692F"/>
    <w:rsid w:val="006F03C1"/>
    <w:rsid w:val="006F1F5B"/>
    <w:rsid w:val="006F2AA3"/>
    <w:rsid w:val="006F3439"/>
    <w:rsid w:val="0071186E"/>
    <w:rsid w:val="00713E52"/>
    <w:rsid w:val="00720D64"/>
    <w:rsid w:val="0072256E"/>
    <w:rsid w:val="007230B2"/>
    <w:rsid w:val="0072499A"/>
    <w:rsid w:val="00726D7A"/>
    <w:rsid w:val="00732ACD"/>
    <w:rsid w:val="007415A1"/>
    <w:rsid w:val="00746C69"/>
    <w:rsid w:val="00752B0A"/>
    <w:rsid w:val="00756764"/>
    <w:rsid w:val="00756767"/>
    <w:rsid w:val="00762A7D"/>
    <w:rsid w:val="00765E94"/>
    <w:rsid w:val="007664BB"/>
    <w:rsid w:val="00772081"/>
    <w:rsid w:val="00772C18"/>
    <w:rsid w:val="00774C15"/>
    <w:rsid w:val="00775A14"/>
    <w:rsid w:val="00775D04"/>
    <w:rsid w:val="00780EBF"/>
    <w:rsid w:val="0078395F"/>
    <w:rsid w:val="00783D5F"/>
    <w:rsid w:val="00784063"/>
    <w:rsid w:val="00793330"/>
    <w:rsid w:val="00794482"/>
    <w:rsid w:val="007A59A9"/>
    <w:rsid w:val="007B001D"/>
    <w:rsid w:val="007B4D47"/>
    <w:rsid w:val="007C4164"/>
    <w:rsid w:val="007E7E0D"/>
    <w:rsid w:val="007F19B0"/>
    <w:rsid w:val="007F4597"/>
    <w:rsid w:val="007F7A31"/>
    <w:rsid w:val="00804C50"/>
    <w:rsid w:val="00804CA5"/>
    <w:rsid w:val="008059E8"/>
    <w:rsid w:val="00810309"/>
    <w:rsid w:val="008134DD"/>
    <w:rsid w:val="00813972"/>
    <w:rsid w:val="008149B7"/>
    <w:rsid w:val="008224EF"/>
    <w:rsid w:val="00822B2A"/>
    <w:rsid w:val="0083202A"/>
    <w:rsid w:val="00832861"/>
    <w:rsid w:val="008357AD"/>
    <w:rsid w:val="008358D0"/>
    <w:rsid w:val="008364A1"/>
    <w:rsid w:val="00836BCD"/>
    <w:rsid w:val="00842EA6"/>
    <w:rsid w:val="00844901"/>
    <w:rsid w:val="00846280"/>
    <w:rsid w:val="00846D71"/>
    <w:rsid w:val="00847B85"/>
    <w:rsid w:val="008557B4"/>
    <w:rsid w:val="008566B0"/>
    <w:rsid w:val="00860086"/>
    <w:rsid w:val="008655BF"/>
    <w:rsid w:val="00875019"/>
    <w:rsid w:val="00882C44"/>
    <w:rsid w:val="00890B4E"/>
    <w:rsid w:val="00892870"/>
    <w:rsid w:val="00897C1A"/>
    <w:rsid w:val="008A1C91"/>
    <w:rsid w:val="008A1FEF"/>
    <w:rsid w:val="008A393E"/>
    <w:rsid w:val="008A6A07"/>
    <w:rsid w:val="008B2D88"/>
    <w:rsid w:val="008B32D7"/>
    <w:rsid w:val="008C31ED"/>
    <w:rsid w:val="008C4DAE"/>
    <w:rsid w:val="008C4FE8"/>
    <w:rsid w:val="008C66BE"/>
    <w:rsid w:val="008C7261"/>
    <w:rsid w:val="008D3D3D"/>
    <w:rsid w:val="008D4FB6"/>
    <w:rsid w:val="008D7A72"/>
    <w:rsid w:val="008E5A44"/>
    <w:rsid w:val="008F19BB"/>
    <w:rsid w:val="008F24DA"/>
    <w:rsid w:val="008F5741"/>
    <w:rsid w:val="008F79EB"/>
    <w:rsid w:val="009067A4"/>
    <w:rsid w:val="0091067C"/>
    <w:rsid w:val="00911FEF"/>
    <w:rsid w:val="00914A01"/>
    <w:rsid w:val="00920D3D"/>
    <w:rsid w:val="00930B08"/>
    <w:rsid w:val="00932DBA"/>
    <w:rsid w:val="00932E45"/>
    <w:rsid w:val="00937FC0"/>
    <w:rsid w:val="00940519"/>
    <w:rsid w:val="00941C45"/>
    <w:rsid w:val="00942BD3"/>
    <w:rsid w:val="00946221"/>
    <w:rsid w:val="00957184"/>
    <w:rsid w:val="00957405"/>
    <w:rsid w:val="00957851"/>
    <w:rsid w:val="009630BD"/>
    <w:rsid w:val="00963297"/>
    <w:rsid w:val="009665D9"/>
    <w:rsid w:val="00967C47"/>
    <w:rsid w:val="00970A75"/>
    <w:rsid w:val="00972E80"/>
    <w:rsid w:val="009860DB"/>
    <w:rsid w:val="009906F2"/>
    <w:rsid w:val="00990B8F"/>
    <w:rsid w:val="00996CBC"/>
    <w:rsid w:val="00997D00"/>
    <w:rsid w:val="009A1AC3"/>
    <w:rsid w:val="009A23B4"/>
    <w:rsid w:val="009A45DD"/>
    <w:rsid w:val="009A7074"/>
    <w:rsid w:val="009B3FA4"/>
    <w:rsid w:val="009B4360"/>
    <w:rsid w:val="009B4D4D"/>
    <w:rsid w:val="009B4E8A"/>
    <w:rsid w:val="009C08D4"/>
    <w:rsid w:val="009C55AD"/>
    <w:rsid w:val="009E0B89"/>
    <w:rsid w:val="009E15DC"/>
    <w:rsid w:val="009F022E"/>
    <w:rsid w:val="009F10B2"/>
    <w:rsid w:val="009F58CF"/>
    <w:rsid w:val="009F65DE"/>
    <w:rsid w:val="009F71FD"/>
    <w:rsid w:val="00A03057"/>
    <w:rsid w:val="00A0489E"/>
    <w:rsid w:val="00A057ED"/>
    <w:rsid w:val="00A062D0"/>
    <w:rsid w:val="00A15B9A"/>
    <w:rsid w:val="00A223D1"/>
    <w:rsid w:val="00A30AB5"/>
    <w:rsid w:val="00A30FA3"/>
    <w:rsid w:val="00A41729"/>
    <w:rsid w:val="00A51F99"/>
    <w:rsid w:val="00A60BD8"/>
    <w:rsid w:val="00A63FED"/>
    <w:rsid w:val="00A64567"/>
    <w:rsid w:val="00A66D2C"/>
    <w:rsid w:val="00A674A2"/>
    <w:rsid w:val="00A67D4C"/>
    <w:rsid w:val="00A712B5"/>
    <w:rsid w:val="00A71E8F"/>
    <w:rsid w:val="00A739B5"/>
    <w:rsid w:val="00A82992"/>
    <w:rsid w:val="00A85DC5"/>
    <w:rsid w:val="00A86F45"/>
    <w:rsid w:val="00A96814"/>
    <w:rsid w:val="00A96BC2"/>
    <w:rsid w:val="00AA03BA"/>
    <w:rsid w:val="00AA4306"/>
    <w:rsid w:val="00AA68A7"/>
    <w:rsid w:val="00AA7458"/>
    <w:rsid w:val="00AB09C8"/>
    <w:rsid w:val="00AB7F56"/>
    <w:rsid w:val="00AC266D"/>
    <w:rsid w:val="00AC6E28"/>
    <w:rsid w:val="00AC7F34"/>
    <w:rsid w:val="00AD41E8"/>
    <w:rsid w:val="00AD6813"/>
    <w:rsid w:val="00AE0467"/>
    <w:rsid w:val="00AE49B3"/>
    <w:rsid w:val="00AE6591"/>
    <w:rsid w:val="00AF0938"/>
    <w:rsid w:val="00AF3A05"/>
    <w:rsid w:val="00B01072"/>
    <w:rsid w:val="00B11D75"/>
    <w:rsid w:val="00B11EC2"/>
    <w:rsid w:val="00B12820"/>
    <w:rsid w:val="00B1343B"/>
    <w:rsid w:val="00B13ABB"/>
    <w:rsid w:val="00B1546D"/>
    <w:rsid w:val="00B21526"/>
    <w:rsid w:val="00B235B3"/>
    <w:rsid w:val="00B2443D"/>
    <w:rsid w:val="00B27833"/>
    <w:rsid w:val="00B313FA"/>
    <w:rsid w:val="00B339F9"/>
    <w:rsid w:val="00B404F5"/>
    <w:rsid w:val="00B45CE5"/>
    <w:rsid w:val="00B51FC4"/>
    <w:rsid w:val="00B52D15"/>
    <w:rsid w:val="00B5354E"/>
    <w:rsid w:val="00B56E1D"/>
    <w:rsid w:val="00B6024B"/>
    <w:rsid w:val="00B62412"/>
    <w:rsid w:val="00B63FD1"/>
    <w:rsid w:val="00B66060"/>
    <w:rsid w:val="00B722DA"/>
    <w:rsid w:val="00B81EEE"/>
    <w:rsid w:val="00B850AF"/>
    <w:rsid w:val="00B86620"/>
    <w:rsid w:val="00B86B1B"/>
    <w:rsid w:val="00B90333"/>
    <w:rsid w:val="00BA2E2B"/>
    <w:rsid w:val="00BA3CB1"/>
    <w:rsid w:val="00BA6251"/>
    <w:rsid w:val="00BA77BA"/>
    <w:rsid w:val="00BB4CA7"/>
    <w:rsid w:val="00BB6492"/>
    <w:rsid w:val="00BB7088"/>
    <w:rsid w:val="00BB77B3"/>
    <w:rsid w:val="00BC0969"/>
    <w:rsid w:val="00BC230D"/>
    <w:rsid w:val="00BC3F59"/>
    <w:rsid w:val="00BC5911"/>
    <w:rsid w:val="00BC61D3"/>
    <w:rsid w:val="00BC6613"/>
    <w:rsid w:val="00BD10CA"/>
    <w:rsid w:val="00BD4698"/>
    <w:rsid w:val="00BE1173"/>
    <w:rsid w:val="00BE4D05"/>
    <w:rsid w:val="00BE6247"/>
    <w:rsid w:val="00BE690F"/>
    <w:rsid w:val="00BF25D6"/>
    <w:rsid w:val="00BF42A2"/>
    <w:rsid w:val="00C00CD9"/>
    <w:rsid w:val="00C013FA"/>
    <w:rsid w:val="00C03B6B"/>
    <w:rsid w:val="00C05262"/>
    <w:rsid w:val="00C101BD"/>
    <w:rsid w:val="00C127CA"/>
    <w:rsid w:val="00C15F57"/>
    <w:rsid w:val="00C175BC"/>
    <w:rsid w:val="00C2122C"/>
    <w:rsid w:val="00C32D24"/>
    <w:rsid w:val="00C34C12"/>
    <w:rsid w:val="00C424C9"/>
    <w:rsid w:val="00C42F7E"/>
    <w:rsid w:val="00C4555C"/>
    <w:rsid w:val="00C474FB"/>
    <w:rsid w:val="00C50111"/>
    <w:rsid w:val="00C54570"/>
    <w:rsid w:val="00C54EB1"/>
    <w:rsid w:val="00C56D49"/>
    <w:rsid w:val="00C607AF"/>
    <w:rsid w:val="00C60A80"/>
    <w:rsid w:val="00C62781"/>
    <w:rsid w:val="00C66FF6"/>
    <w:rsid w:val="00C71C79"/>
    <w:rsid w:val="00C75216"/>
    <w:rsid w:val="00C77FAE"/>
    <w:rsid w:val="00C854A2"/>
    <w:rsid w:val="00C85E2E"/>
    <w:rsid w:val="00C865D2"/>
    <w:rsid w:val="00C978D9"/>
    <w:rsid w:val="00CA54D9"/>
    <w:rsid w:val="00CA733C"/>
    <w:rsid w:val="00CA7966"/>
    <w:rsid w:val="00CB1751"/>
    <w:rsid w:val="00CB2A84"/>
    <w:rsid w:val="00CB577D"/>
    <w:rsid w:val="00CB5B34"/>
    <w:rsid w:val="00CB60EA"/>
    <w:rsid w:val="00CC72F0"/>
    <w:rsid w:val="00CD4AFB"/>
    <w:rsid w:val="00CD4C7F"/>
    <w:rsid w:val="00CD62DB"/>
    <w:rsid w:val="00CE190D"/>
    <w:rsid w:val="00CF09F0"/>
    <w:rsid w:val="00CF6525"/>
    <w:rsid w:val="00CF6ED5"/>
    <w:rsid w:val="00CF73E6"/>
    <w:rsid w:val="00CF7435"/>
    <w:rsid w:val="00CF7466"/>
    <w:rsid w:val="00CF7DF4"/>
    <w:rsid w:val="00D03026"/>
    <w:rsid w:val="00D04DFD"/>
    <w:rsid w:val="00D06448"/>
    <w:rsid w:val="00D0705D"/>
    <w:rsid w:val="00D11C84"/>
    <w:rsid w:val="00D13DCE"/>
    <w:rsid w:val="00D14002"/>
    <w:rsid w:val="00D231F2"/>
    <w:rsid w:val="00D30EDF"/>
    <w:rsid w:val="00D337C0"/>
    <w:rsid w:val="00D33E37"/>
    <w:rsid w:val="00D34934"/>
    <w:rsid w:val="00D3727A"/>
    <w:rsid w:val="00D410E9"/>
    <w:rsid w:val="00D41319"/>
    <w:rsid w:val="00D44274"/>
    <w:rsid w:val="00D45008"/>
    <w:rsid w:val="00D457B7"/>
    <w:rsid w:val="00D46213"/>
    <w:rsid w:val="00D47AA8"/>
    <w:rsid w:val="00D50472"/>
    <w:rsid w:val="00D50778"/>
    <w:rsid w:val="00D51D4D"/>
    <w:rsid w:val="00D62C4C"/>
    <w:rsid w:val="00D62FFE"/>
    <w:rsid w:val="00D667E0"/>
    <w:rsid w:val="00D67B6D"/>
    <w:rsid w:val="00D70E8D"/>
    <w:rsid w:val="00D73526"/>
    <w:rsid w:val="00D77257"/>
    <w:rsid w:val="00D81E3A"/>
    <w:rsid w:val="00D836DB"/>
    <w:rsid w:val="00D864F7"/>
    <w:rsid w:val="00DA18D8"/>
    <w:rsid w:val="00DA21B9"/>
    <w:rsid w:val="00DA4232"/>
    <w:rsid w:val="00DA4398"/>
    <w:rsid w:val="00DA7186"/>
    <w:rsid w:val="00DB3364"/>
    <w:rsid w:val="00DB3377"/>
    <w:rsid w:val="00DB7023"/>
    <w:rsid w:val="00DB77B8"/>
    <w:rsid w:val="00DC39E0"/>
    <w:rsid w:val="00DC3F16"/>
    <w:rsid w:val="00DC4BCA"/>
    <w:rsid w:val="00DC6A18"/>
    <w:rsid w:val="00DC6EBD"/>
    <w:rsid w:val="00DD0373"/>
    <w:rsid w:val="00DD047C"/>
    <w:rsid w:val="00DD04CC"/>
    <w:rsid w:val="00DD4637"/>
    <w:rsid w:val="00DD4769"/>
    <w:rsid w:val="00DD7E06"/>
    <w:rsid w:val="00DE0015"/>
    <w:rsid w:val="00DE398F"/>
    <w:rsid w:val="00DE39E4"/>
    <w:rsid w:val="00DE694C"/>
    <w:rsid w:val="00DE7CB9"/>
    <w:rsid w:val="00DF01C3"/>
    <w:rsid w:val="00DF05D3"/>
    <w:rsid w:val="00DF6615"/>
    <w:rsid w:val="00E0010A"/>
    <w:rsid w:val="00E066F2"/>
    <w:rsid w:val="00E10E90"/>
    <w:rsid w:val="00E13CE6"/>
    <w:rsid w:val="00E15E48"/>
    <w:rsid w:val="00E24609"/>
    <w:rsid w:val="00E30012"/>
    <w:rsid w:val="00E32DEC"/>
    <w:rsid w:val="00E331FD"/>
    <w:rsid w:val="00E333B5"/>
    <w:rsid w:val="00E45764"/>
    <w:rsid w:val="00E54311"/>
    <w:rsid w:val="00E546BA"/>
    <w:rsid w:val="00E57723"/>
    <w:rsid w:val="00E63A01"/>
    <w:rsid w:val="00E71837"/>
    <w:rsid w:val="00E81B7A"/>
    <w:rsid w:val="00E84F4F"/>
    <w:rsid w:val="00E85262"/>
    <w:rsid w:val="00E91880"/>
    <w:rsid w:val="00E9324D"/>
    <w:rsid w:val="00E97AC8"/>
    <w:rsid w:val="00EA0443"/>
    <w:rsid w:val="00EA4204"/>
    <w:rsid w:val="00EA5457"/>
    <w:rsid w:val="00EC7DF6"/>
    <w:rsid w:val="00ED548D"/>
    <w:rsid w:val="00ED5665"/>
    <w:rsid w:val="00ED5A27"/>
    <w:rsid w:val="00EE6663"/>
    <w:rsid w:val="00EF30D5"/>
    <w:rsid w:val="00EF7209"/>
    <w:rsid w:val="00F0037F"/>
    <w:rsid w:val="00F01991"/>
    <w:rsid w:val="00F07CA5"/>
    <w:rsid w:val="00F13718"/>
    <w:rsid w:val="00F15F62"/>
    <w:rsid w:val="00F22817"/>
    <w:rsid w:val="00F2711F"/>
    <w:rsid w:val="00F3375B"/>
    <w:rsid w:val="00F36C77"/>
    <w:rsid w:val="00F3749C"/>
    <w:rsid w:val="00F41FAE"/>
    <w:rsid w:val="00F433D4"/>
    <w:rsid w:val="00F442B6"/>
    <w:rsid w:val="00F530B7"/>
    <w:rsid w:val="00F532E5"/>
    <w:rsid w:val="00F63A0E"/>
    <w:rsid w:val="00F64050"/>
    <w:rsid w:val="00F64C3E"/>
    <w:rsid w:val="00F656F7"/>
    <w:rsid w:val="00F730E1"/>
    <w:rsid w:val="00F731C9"/>
    <w:rsid w:val="00F73E70"/>
    <w:rsid w:val="00F8713E"/>
    <w:rsid w:val="00F90E7C"/>
    <w:rsid w:val="00F932A4"/>
    <w:rsid w:val="00F94C74"/>
    <w:rsid w:val="00F96A6D"/>
    <w:rsid w:val="00FB099D"/>
    <w:rsid w:val="00FB5378"/>
    <w:rsid w:val="00FC6EAC"/>
    <w:rsid w:val="00FC7BF7"/>
    <w:rsid w:val="00FD2FDD"/>
    <w:rsid w:val="00FD35AF"/>
    <w:rsid w:val="00FD602A"/>
    <w:rsid w:val="00FD7759"/>
    <w:rsid w:val="00FD7795"/>
    <w:rsid w:val="00FE0475"/>
    <w:rsid w:val="00FE3331"/>
    <w:rsid w:val="00FE51F8"/>
    <w:rsid w:val="00FE55CA"/>
    <w:rsid w:val="00FE6118"/>
    <w:rsid w:val="00FE663E"/>
    <w:rsid w:val="00FF16E8"/>
    <w:rsid w:val="00FF273A"/>
    <w:rsid w:val="00FF5DDB"/>
    <w:rsid w:val="00FF6AEC"/>
    <w:rsid w:val="00FF76AD"/>
    <w:rsid w:val="1EAF9B1F"/>
    <w:rsid w:val="4F42E4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25F0F"/>
  <w15:chartTrackingRefBased/>
  <w15:docId w15:val="{3A41E91F-E229-449C-B5F7-F48FAA28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A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BE690F"/>
    <w:pPr>
      <w:keepNext/>
      <w:pageBreakBefore/>
      <w:numPr>
        <w:numId w:val="2"/>
      </w:numPr>
      <w:pBdr>
        <w:top w:val="single" w:sz="12" w:space="5" w:color="BA0C2F"/>
        <w:bottom w:val="single" w:sz="12" w:space="5" w:color="BA0C2F"/>
      </w:pBdr>
      <w:shd w:val="clear" w:color="000000" w:fill="auto"/>
      <w:tabs>
        <w:tab w:val="left" w:pos="0"/>
      </w:tabs>
      <w:spacing w:after="900"/>
      <w:ind w:left="1080" w:hanging="1066"/>
      <w:outlineLvl w:val="0"/>
    </w:pPr>
    <w:rPr>
      <w:rFonts w:ascii="Gill Sans" w:hAnsi="Gill Sans"/>
      <w:snapToGrid w:val="0"/>
      <w:color w:val="002F6C"/>
      <w:sz w:val="60"/>
      <w:szCs w:val="20"/>
    </w:rPr>
  </w:style>
  <w:style w:type="paragraph" w:styleId="Heading2">
    <w:name w:val="heading 2"/>
    <w:basedOn w:val="Normal"/>
    <w:next w:val="Normal"/>
    <w:link w:val="Heading2Char"/>
    <w:qFormat/>
    <w:rsid w:val="00261961"/>
    <w:pPr>
      <w:keepNext/>
      <w:numPr>
        <w:ilvl w:val="1"/>
        <w:numId w:val="2"/>
      </w:numPr>
      <w:shd w:val="clear" w:color="C0C0C0" w:fill="auto"/>
      <w:tabs>
        <w:tab w:val="left" w:pos="720"/>
      </w:tabs>
      <w:spacing w:before="160" w:after="80"/>
      <w:ind w:left="720" w:hanging="720"/>
      <w:outlineLvl w:val="1"/>
    </w:pPr>
    <w:rPr>
      <w:rFonts w:ascii="Gill Sans" w:hAnsi="Gill Sans"/>
      <w:snapToGrid w:val="0"/>
      <w:color w:val="002A6C"/>
      <w:sz w:val="32"/>
      <w:szCs w:val="20"/>
    </w:rPr>
  </w:style>
  <w:style w:type="paragraph" w:styleId="Heading3">
    <w:name w:val="heading 3"/>
    <w:basedOn w:val="Heading2"/>
    <w:next w:val="Normal"/>
    <w:link w:val="Heading3Char"/>
    <w:qFormat/>
    <w:rsid w:val="001415C8"/>
    <w:pPr>
      <w:numPr>
        <w:ilvl w:val="2"/>
      </w:numPr>
      <w:shd w:val="clear" w:color="C0C0C0" w:fill="FFFFFF"/>
      <w:outlineLvl w:val="2"/>
    </w:pPr>
    <w:rPr>
      <w:sz w:val="28"/>
      <w:u w:color="808080"/>
    </w:rPr>
  </w:style>
  <w:style w:type="paragraph" w:styleId="Heading4">
    <w:name w:val="heading 4"/>
    <w:basedOn w:val="Heading3"/>
    <w:next w:val="Normal"/>
    <w:link w:val="Heading4Char"/>
    <w:qFormat/>
    <w:rsid w:val="001415C8"/>
    <w:pPr>
      <w:numPr>
        <w:ilvl w:val="3"/>
      </w:numPr>
      <w:outlineLvl w:val="3"/>
    </w:pPr>
    <w:rPr>
      <w:i/>
      <w:sz w:val="24"/>
    </w:rPr>
  </w:style>
  <w:style w:type="paragraph" w:styleId="Heading5">
    <w:name w:val="heading 5"/>
    <w:basedOn w:val="Normal"/>
    <w:next w:val="Normal"/>
    <w:link w:val="Heading5Char"/>
    <w:uiPriority w:val="9"/>
    <w:semiHidden/>
    <w:unhideWhenUsed/>
    <w:rsid w:val="001415C8"/>
    <w:pPr>
      <w:keepNext/>
      <w:keepLines/>
      <w:numPr>
        <w:ilvl w:val="4"/>
        <w:numId w:val="2"/>
      </w:numPr>
      <w:spacing w:before="40"/>
      <w:outlineLvl w:val="4"/>
    </w:pPr>
    <w:rPr>
      <w:rFonts w:asciiTheme="majorHAnsi" w:eastAsiaTheme="majorEastAsia" w:hAnsiTheme="majorHAnsi"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1415C8"/>
    <w:pPr>
      <w:keepNext/>
      <w:keepLines/>
      <w:numPr>
        <w:ilvl w:val="5"/>
        <w:numId w:val="2"/>
      </w:numPr>
      <w:spacing w:before="40"/>
      <w:outlineLvl w:val="5"/>
    </w:pPr>
    <w:rPr>
      <w:rFonts w:asciiTheme="majorHAnsi" w:eastAsiaTheme="majorEastAsia" w:hAnsiTheme="majorHAnsi" w:cstheme="majorBidi"/>
      <w:color w:val="1F3763" w:themeColor="accent1" w:themeShade="7F"/>
      <w:sz w:val="22"/>
      <w:szCs w:val="22"/>
    </w:rPr>
  </w:style>
  <w:style w:type="paragraph" w:styleId="Heading7">
    <w:name w:val="heading 7"/>
    <w:basedOn w:val="Normal"/>
    <w:next w:val="Normal"/>
    <w:link w:val="Heading7Char"/>
    <w:uiPriority w:val="9"/>
    <w:semiHidden/>
    <w:unhideWhenUsed/>
    <w:qFormat/>
    <w:rsid w:val="001415C8"/>
    <w:pPr>
      <w:keepNext/>
      <w:keepLines/>
      <w:numPr>
        <w:ilvl w:val="6"/>
        <w:numId w:val="2"/>
      </w:numPr>
      <w:spacing w:before="40"/>
      <w:outlineLvl w:val="6"/>
    </w:pPr>
    <w:rPr>
      <w:rFonts w:asciiTheme="majorHAnsi" w:eastAsiaTheme="majorEastAsia" w:hAnsiTheme="majorHAnsi" w:cstheme="majorBidi"/>
      <w:i/>
      <w:iCs/>
      <w:color w:val="1F3763" w:themeColor="accent1" w:themeShade="7F"/>
      <w:sz w:val="22"/>
      <w:szCs w:val="22"/>
    </w:rPr>
  </w:style>
  <w:style w:type="paragraph" w:styleId="Heading8">
    <w:name w:val="heading 8"/>
    <w:basedOn w:val="Normal"/>
    <w:next w:val="Normal"/>
    <w:link w:val="Heading8Char"/>
    <w:uiPriority w:val="9"/>
    <w:semiHidden/>
    <w:unhideWhenUsed/>
    <w:qFormat/>
    <w:rsid w:val="001415C8"/>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415C8"/>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odyText">
    <w:name w:val="1-Body Text"/>
    <w:basedOn w:val="Normal"/>
    <w:qFormat/>
    <w:rsid w:val="001415C8"/>
    <w:pPr>
      <w:spacing w:after="160"/>
    </w:pPr>
    <w:rPr>
      <w:rFonts w:ascii="Gill Sans Nova Light" w:eastAsiaTheme="minorHAnsi" w:hAnsi="Gill Sans Nova Light" w:cstheme="minorBidi"/>
      <w:sz w:val="22"/>
      <w:szCs w:val="22"/>
    </w:rPr>
  </w:style>
  <w:style w:type="character" w:styleId="Hyperlink">
    <w:name w:val="Hyperlink"/>
    <w:basedOn w:val="DefaultParagraphFont"/>
    <w:uiPriority w:val="99"/>
    <w:unhideWhenUsed/>
    <w:rsid w:val="001415C8"/>
    <w:rPr>
      <w:color w:val="0563C1" w:themeColor="hyperlink"/>
      <w:u w:val="single"/>
    </w:rPr>
  </w:style>
  <w:style w:type="character" w:styleId="UnresolvedMention">
    <w:name w:val="Unresolved Mention"/>
    <w:basedOn w:val="DefaultParagraphFont"/>
    <w:uiPriority w:val="99"/>
    <w:semiHidden/>
    <w:unhideWhenUsed/>
    <w:rsid w:val="001415C8"/>
    <w:rPr>
      <w:color w:val="605E5C"/>
      <w:shd w:val="clear" w:color="auto" w:fill="E1DFDD"/>
    </w:rPr>
  </w:style>
  <w:style w:type="character" w:customStyle="1" w:styleId="Heading1Char">
    <w:name w:val="Heading 1 Char"/>
    <w:basedOn w:val="DefaultParagraphFont"/>
    <w:link w:val="Heading1"/>
    <w:rsid w:val="00BE690F"/>
    <w:rPr>
      <w:rFonts w:ascii="Gill Sans" w:eastAsia="Times New Roman" w:hAnsi="Gill Sans" w:cs="Times New Roman"/>
      <w:snapToGrid w:val="0"/>
      <w:color w:val="002F6C"/>
      <w:sz w:val="60"/>
      <w:szCs w:val="20"/>
      <w:shd w:val="clear" w:color="000000" w:fill="auto"/>
    </w:rPr>
  </w:style>
  <w:style w:type="character" w:customStyle="1" w:styleId="Heading2Char">
    <w:name w:val="Heading 2 Char"/>
    <w:basedOn w:val="DefaultParagraphFont"/>
    <w:link w:val="Heading2"/>
    <w:rsid w:val="00261961"/>
    <w:rPr>
      <w:rFonts w:ascii="Gill Sans" w:eastAsia="Times New Roman" w:hAnsi="Gill Sans" w:cs="Times New Roman"/>
      <w:snapToGrid w:val="0"/>
      <w:color w:val="002A6C"/>
      <w:sz w:val="32"/>
      <w:szCs w:val="20"/>
      <w:shd w:val="clear" w:color="C0C0C0" w:fill="auto"/>
    </w:rPr>
  </w:style>
  <w:style w:type="character" w:customStyle="1" w:styleId="Heading3Char">
    <w:name w:val="Heading 3 Char"/>
    <w:basedOn w:val="DefaultParagraphFont"/>
    <w:link w:val="Heading3"/>
    <w:rsid w:val="001415C8"/>
    <w:rPr>
      <w:rFonts w:ascii="Arial" w:eastAsia="Times New Roman" w:hAnsi="Arial" w:cs="Times New Roman"/>
      <w:smallCaps/>
      <w:snapToGrid w:val="0"/>
      <w:color w:val="002A6C"/>
      <w:sz w:val="28"/>
      <w:szCs w:val="20"/>
      <w:u w:color="808080"/>
      <w:shd w:val="clear" w:color="C0C0C0" w:fill="FFFFFF"/>
    </w:rPr>
  </w:style>
  <w:style w:type="character" w:customStyle="1" w:styleId="Heading4Char">
    <w:name w:val="Heading 4 Char"/>
    <w:basedOn w:val="DefaultParagraphFont"/>
    <w:link w:val="Heading4"/>
    <w:rsid w:val="001415C8"/>
    <w:rPr>
      <w:rFonts w:ascii="Arial" w:eastAsia="Times New Roman" w:hAnsi="Arial" w:cs="Times New Roman"/>
      <w:i/>
      <w:smallCaps/>
      <w:snapToGrid w:val="0"/>
      <w:color w:val="002A6C"/>
      <w:sz w:val="24"/>
      <w:szCs w:val="20"/>
      <w:u w:color="808080"/>
      <w:shd w:val="clear" w:color="C0C0C0" w:fill="FFFFFF"/>
    </w:rPr>
  </w:style>
  <w:style w:type="character" w:customStyle="1" w:styleId="Heading5Char">
    <w:name w:val="Heading 5 Char"/>
    <w:basedOn w:val="DefaultParagraphFont"/>
    <w:link w:val="Heading5"/>
    <w:uiPriority w:val="9"/>
    <w:semiHidden/>
    <w:rsid w:val="001415C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1415C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415C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415C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415C8"/>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nhideWhenUsed/>
    <w:rsid w:val="001415C8"/>
    <w:pPr>
      <w:tabs>
        <w:tab w:val="center" w:pos="4680"/>
        <w:tab w:val="right" w:pos="9360"/>
      </w:tabs>
    </w:pPr>
    <w:rPr>
      <w:rFonts w:ascii="Gill Sans Nova Light" w:eastAsiaTheme="minorHAnsi" w:hAnsi="Gill Sans Nova Light" w:cstheme="minorBidi"/>
      <w:sz w:val="22"/>
      <w:szCs w:val="22"/>
    </w:rPr>
  </w:style>
  <w:style w:type="character" w:customStyle="1" w:styleId="HeaderChar">
    <w:name w:val="Header Char"/>
    <w:basedOn w:val="DefaultParagraphFont"/>
    <w:link w:val="Header"/>
    <w:rsid w:val="001415C8"/>
  </w:style>
  <w:style w:type="paragraph" w:styleId="Footer">
    <w:name w:val="footer"/>
    <w:basedOn w:val="Normal"/>
    <w:link w:val="FooterChar"/>
    <w:uiPriority w:val="99"/>
    <w:unhideWhenUsed/>
    <w:rsid w:val="001415C8"/>
    <w:pPr>
      <w:tabs>
        <w:tab w:val="center" w:pos="4680"/>
        <w:tab w:val="right" w:pos="9360"/>
      </w:tabs>
    </w:pPr>
    <w:rPr>
      <w:rFonts w:ascii="Gill Sans Nova Light" w:eastAsiaTheme="minorHAnsi" w:hAnsi="Gill Sans Nova Light" w:cstheme="minorBidi"/>
      <w:sz w:val="22"/>
      <w:szCs w:val="22"/>
    </w:rPr>
  </w:style>
  <w:style w:type="character" w:customStyle="1" w:styleId="FooterChar">
    <w:name w:val="Footer Char"/>
    <w:basedOn w:val="DefaultParagraphFont"/>
    <w:link w:val="Footer"/>
    <w:uiPriority w:val="99"/>
    <w:rsid w:val="001415C8"/>
  </w:style>
  <w:style w:type="paragraph" w:customStyle="1" w:styleId="Contents">
    <w:name w:val="Contents"/>
    <w:basedOn w:val="Heading1"/>
    <w:qFormat/>
    <w:rsid w:val="00405868"/>
    <w:pPr>
      <w:numPr>
        <w:numId w:val="0"/>
      </w:numPr>
      <w:ind w:left="14"/>
      <w:outlineLvl w:val="9"/>
    </w:pPr>
  </w:style>
  <w:style w:type="paragraph" w:customStyle="1" w:styleId="1LevelNoNumber">
    <w:name w:val="1 Level No Number"/>
    <w:basedOn w:val="Heading1"/>
    <w:qFormat/>
    <w:rsid w:val="00405868"/>
    <w:pPr>
      <w:numPr>
        <w:numId w:val="0"/>
      </w:numPr>
      <w:ind w:left="14"/>
    </w:pPr>
  </w:style>
  <w:style w:type="paragraph" w:styleId="TOC1">
    <w:name w:val="toc 1"/>
    <w:basedOn w:val="Normal"/>
    <w:next w:val="Normal"/>
    <w:autoRedefine/>
    <w:uiPriority w:val="39"/>
    <w:unhideWhenUsed/>
    <w:rsid w:val="00405868"/>
    <w:pPr>
      <w:tabs>
        <w:tab w:val="right" w:leader="dot" w:pos="9350"/>
      </w:tabs>
      <w:spacing w:after="100"/>
      <w:ind w:left="450" w:hanging="450"/>
    </w:pPr>
    <w:rPr>
      <w:rFonts w:ascii="Gill Sans Nova Light" w:eastAsiaTheme="minorHAnsi" w:hAnsi="Gill Sans Nova Light" w:cstheme="minorBidi"/>
      <w:b/>
      <w:bCs/>
      <w:noProof/>
      <w:sz w:val="22"/>
      <w:szCs w:val="22"/>
    </w:rPr>
  </w:style>
  <w:style w:type="paragraph" w:styleId="TOC2">
    <w:name w:val="toc 2"/>
    <w:basedOn w:val="Normal"/>
    <w:next w:val="Normal"/>
    <w:autoRedefine/>
    <w:uiPriority w:val="39"/>
    <w:unhideWhenUsed/>
    <w:rsid w:val="00405868"/>
    <w:pPr>
      <w:tabs>
        <w:tab w:val="left" w:pos="880"/>
        <w:tab w:val="right" w:leader="dot" w:pos="9350"/>
      </w:tabs>
      <w:spacing w:after="100"/>
      <w:ind w:left="450"/>
    </w:pPr>
    <w:rPr>
      <w:rFonts w:ascii="Gill Sans Nova Light" w:eastAsiaTheme="minorHAnsi" w:hAnsi="Gill Sans Nova Light" w:cstheme="minorBidi"/>
      <w:sz w:val="22"/>
      <w:szCs w:val="22"/>
    </w:rPr>
  </w:style>
  <w:style w:type="table" w:styleId="TableGrid">
    <w:name w:val="Table Grid"/>
    <w:basedOn w:val="TableNormal"/>
    <w:uiPriority w:val="39"/>
    <w:rsid w:val="009F7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Caption"/>
    <w:next w:val="Caption"/>
    <w:qFormat/>
    <w:rsid w:val="003F299B"/>
    <w:pPr>
      <w:spacing w:after="120"/>
      <w:jc w:val="center"/>
    </w:pPr>
    <w:rPr>
      <w:rFonts w:ascii="Gill Sans" w:hAnsi="Gill Sans"/>
      <w:b/>
      <w:bCs/>
      <w:i w:val="0"/>
      <w:iCs w:val="0"/>
      <w:color w:val="BA0C2F"/>
      <w:sz w:val="24"/>
      <w:szCs w:val="24"/>
    </w:rPr>
  </w:style>
  <w:style w:type="paragraph" w:customStyle="1" w:styleId="TableHeader">
    <w:name w:val="Table Header"/>
    <w:basedOn w:val="1-BodyText"/>
    <w:qFormat/>
    <w:rsid w:val="003F299B"/>
    <w:pPr>
      <w:spacing w:after="0"/>
      <w:jc w:val="center"/>
    </w:pPr>
    <w:rPr>
      <w:b/>
      <w:bCs/>
      <w:color w:val="FFFFFF" w:themeColor="background1"/>
      <w:sz w:val="20"/>
      <w:szCs w:val="20"/>
    </w:rPr>
  </w:style>
  <w:style w:type="paragraph" w:styleId="Caption">
    <w:name w:val="caption"/>
    <w:basedOn w:val="Normal"/>
    <w:next w:val="Normal"/>
    <w:uiPriority w:val="35"/>
    <w:semiHidden/>
    <w:unhideWhenUsed/>
    <w:qFormat/>
    <w:rsid w:val="003F299B"/>
    <w:pPr>
      <w:spacing w:after="200"/>
    </w:pPr>
    <w:rPr>
      <w:rFonts w:ascii="Gill Sans Nova Light" w:eastAsiaTheme="minorHAnsi" w:hAnsi="Gill Sans Nova Light" w:cstheme="minorBidi"/>
      <w:i/>
      <w:iCs/>
      <w:color w:val="44546A" w:themeColor="text2"/>
      <w:sz w:val="18"/>
      <w:szCs w:val="18"/>
    </w:rPr>
  </w:style>
  <w:style w:type="paragraph" w:customStyle="1" w:styleId="FigureTitle">
    <w:name w:val="Figure Title"/>
    <w:basedOn w:val="TableTitle"/>
    <w:qFormat/>
    <w:rsid w:val="003F299B"/>
  </w:style>
  <w:style w:type="character" w:styleId="CommentReference">
    <w:name w:val="annotation reference"/>
    <w:basedOn w:val="DefaultParagraphFont"/>
    <w:uiPriority w:val="99"/>
    <w:semiHidden/>
    <w:unhideWhenUsed/>
    <w:rsid w:val="00D46213"/>
    <w:rPr>
      <w:sz w:val="16"/>
      <w:szCs w:val="16"/>
    </w:rPr>
  </w:style>
  <w:style w:type="paragraph" w:styleId="CommentText">
    <w:name w:val="annotation text"/>
    <w:basedOn w:val="Normal"/>
    <w:link w:val="CommentTextChar"/>
    <w:uiPriority w:val="99"/>
    <w:unhideWhenUsed/>
    <w:rsid w:val="00D46213"/>
    <w:pPr>
      <w:spacing w:after="160"/>
    </w:pPr>
    <w:rPr>
      <w:rFonts w:ascii="Gill Sans Nova Light" w:eastAsiaTheme="minorHAnsi" w:hAnsi="Gill Sans Nova Light" w:cstheme="minorBidi"/>
      <w:sz w:val="20"/>
      <w:szCs w:val="20"/>
    </w:rPr>
  </w:style>
  <w:style w:type="character" w:customStyle="1" w:styleId="CommentTextChar">
    <w:name w:val="Comment Text Char"/>
    <w:basedOn w:val="DefaultParagraphFont"/>
    <w:link w:val="CommentText"/>
    <w:uiPriority w:val="99"/>
    <w:rsid w:val="00D46213"/>
    <w:rPr>
      <w:rFonts w:ascii="Gill Sans Nova Light" w:hAnsi="Gill Sans Nova Light"/>
      <w:sz w:val="20"/>
      <w:szCs w:val="20"/>
    </w:rPr>
  </w:style>
  <w:style w:type="paragraph" w:styleId="CommentSubject">
    <w:name w:val="annotation subject"/>
    <w:basedOn w:val="CommentText"/>
    <w:next w:val="CommentText"/>
    <w:link w:val="CommentSubjectChar"/>
    <w:uiPriority w:val="99"/>
    <w:semiHidden/>
    <w:unhideWhenUsed/>
    <w:rsid w:val="00D46213"/>
    <w:rPr>
      <w:b/>
      <w:bCs/>
    </w:rPr>
  </w:style>
  <w:style w:type="character" w:customStyle="1" w:styleId="CommentSubjectChar">
    <w:name w:val="Comment Subject Char"/>
    <w:basedOn w:val="CommentTextChar"/>
    <w:link w:val="CommentSubject"/>
    <w:uiPriority w:val="99"/>
    <w:semiHidden/>
    <w:rsid w:val="00D46213"/>
    <w:rPr>
      <w:rFonts w:ascii="Gill Sans Nova Light" w:hAnsi="Gill Sans Nova Light"/>
      <w:b/>
      <w:bCs/>
      <w:sz w:val="20"/>
      <w:szCs w:val="20"/>
    </w:rPr>
  </w:style>
  <w:style w:type="paragraph" w:customStyle="1" w:styleId="AcronymsBold">
    <w:name w:val="Acronyms Bold"/>
    <w:basedOn w:val="Normal"/>
    <w:link w:val="AcronymsBoldChar"/>
    <w:rsid w:val="0003082B"/>
    <w:pPr>
      <w:keepNext/>
      <w:tabs>
        <w:tab w:val="left" w:pos="2160"/>
        <w:tab w:val="left" w:pos="2880"/>
      </w:tabs>
      <w:spacing w:after="120"/>
      <w:ind w:left="360"/>
    </w:pPr>
    <w:rPr>
      <w:rFonts w:ascii="Garamond" w:hAnsi="Garamond"/>
      <w:b/>
      <w:bCs/>
      <w:snapToGrid w:val="0"/>
      <w:sz w:val="22"/>
      <w:szCs w:val="20"/>
    </w:rPr>
  </w:style>
  <w:style w:type="character" w:customStyle="1" w:styleId="AcronymsBoldChar">
    <w:name w:val="Acronyms Bold Char"/>
    <w:basedOn w:val="DefaultParagraphFont"/>
    <w:link w:val="AcronymsBold"/>
    <w:rsid w:val="0003082B"/>
    <w:rPr>
      <w:rFonts w:ascii="Garamond" w:eastAsia="Times New Roman" w:hAnsi="Garamond" w:cs="Times New Roman"/>
      <w:b/>
      <w:bCs/>
      <w:snapToGrid w:val="0"/>
      <w:szCs w:val="20"/>
    </w:rPr>
  </w:style>
  <w:style w:type="paragraph" w:styleId="ListParagraph">
    <w:name w:val="List Paragraph"/>
    <w:basedOn w:val="Normal"/>
    <w:uiPriority w:val="34"/>
    <w:qFormat/>
    <w:rsid w:val="00521B8F"/>
    <w:pPr>
      <w:spacing w:after="160"/>
      <w:ind w:left="720"/>
      <w:contextualSpacing/>
    </w:pPr>
    <w:rPr>
      <w:rFonts w:ascii="Gill Sans Nova Light" w:eastAsiaTheme="minorHAnsi" w:hAnsi="Gill Sans Nova Light" w:cstheme="minorBidi"/>
      <w:sz w:val="22"/>
      <w:szCs w:val="22"/>
    </w:rPr>
  </w:style>
  <w:style w:type="paragraph" w:customStyle="1" w:styleId="1-BodyTextItalics">
    <w:name w:val="1-Body Text + Italics"/>
    <w:basedOn w:val="1-BodyText"/>
    <w:qFormat/>
    <w:rsid w:val="005A04B6"/>
    <w:rPr>
      <w:i/>
    </w:rPr>
  </w:style>
  <w:style w:type="paragraph" w:customStyle="1" w:styleId="1-BodyTextBoldCentered">
    <w:name w:val="1-Body Text (Bold+Centered)"/>
    <w:basedOn w:val="1-BodyText"/>
    <w:qFormat/>
    <w:rsid w:val="00553887"/>
    <w:pPr>
      <w:jc w:val="center"/>
    </w:pPr>
    <w:rPr>
      <w:b/>
    </w:rPr>
  </w:style>
  <w:style w:type="table" w:customStyle="1" w:styleId="TableGrid1">
    <w:name w:val="Table Grid1"/>
    <w:basedOn w:val="TableNormal"/>
    <w:next w:val="TableGrid"/>
    <w:uiPriority w:val="59"/>
    <w:rsid w:val="00FE663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01E0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E0B"/>
    <w:rPr>
      <w:rFonts w:asciiTheme="majorHAnsi" w:eastAsiaTheme="majorEastAsia" w:hAnsiTheme="majorHAnsi" w:cstheme="majorBidi"/>
      <w:spacing w:val="-10"/>
      <w:kern w:val="28"/>
      <w:sz w:val="56"/>
      <w:szCs w:val="56"/>
    </w:rPr>
  </w:style>
  <w:style w:type="character" w:styleId="FootnoteReference">
    <w:name w:val="footnote reference"/>
    <w:basedOn w:val="DefaultParagraphFont"/>
    <w:uiPriority w:val="99"/>
    <w:semiHidden/>
    <w:unhideWhenUsed/>
    <w:rsid w:val="00846280"/>
    <w:rPr>
      <w:vertAlign w:val="superscript"/>
    </w:rPr>
  </w:style>
  <w:style w:type="paragraph" w:customStyle="1" w:styleId="pf0">
    <w:name w:val="pf0"/>
    <w:basedOn w:val="Normal"/>
    <w:rsid w:val="001063AD"/>
    <w:pPr>
      <w:spacing w:before="100" w:beforeAutospacing="1" w:after="100" w:afterAutospacing="1"/>
      <w:ind w:left="1080"/>
    </w:pPr>
  </w:style>
  <w:style w:type="paragraph" w:styleId="Revision">
    <w:name w:val="Revision"/>
    <w:hidden/>
    <w:uiPriority w:val="99"/>
    <w:semiHidden/>
    <w:rsid w:val="00B81EEE"/>
    <w:pPr>
      <w:spacing w:after="0"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C56D49"/>
    <w:rPr>
      <w:color w:val="2B579A"/>
      <w:shd w:val="clear" w:color="auto" w:fill="E1DFDD"/>
    </w:rPr>
  </w:style>
  <w:style w:type="paragraph" w:styleId="FootnoteText">
    <w:name w:val="footnote text"/>
    <w:basedOn w:val="Normal"/>
    <w:link w:val="FootnoteTextChar"/>
    <w:uiPriority w:val="99"/>
    <w:semiHidden/>
    <w:unhideWhenUsed/>
    <w:rsid w:val="006158BA"/>
    <w:rPr>
      <w:sz w:val="20"/>
      <w:szCs w:val="20"/>
    </w:rPr>
  </w:style>
  <w:style w:type="character" w:customStyle="1" w:styleId="FootnoteTextChar">
    <w:name w:val="Footnote Text Char"/>
    <w:basedOn w:val="DefaultParagraphFont"/>
    <w:link w:val="FootnoteText"/>
    <w:uiPriority w:val="99"/>
    <w:semiHidden/>
    <w:rsid w:val="006158B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B4E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E8A"/>
    <w:rPr>
      <w:rFonts w:ascii="Segoe UI" w:eastAsia="Times New Roman" w:hAnsi="Segoe UI" w:cs="Segoe UI"/>
      <w:sz w:val="18"/>
      <w:szCs w:val="18"/>
    </w:rPr>
  </w:style>
  <w:style w:type="paragraph" w:styleId="NormalWeb">
    <w:name w:val="Normal (Web)"/>
    <w:basedOn w:val="Normal"/>
    <w:uiPriority w:val="99"/>
    <w:semiHidden/>
    <w:unhideWhenUsed/>
    <w:rsid w:val="003D79E7"/>
  </w:style>
  <w:style w:type="character" w:styleId="EndnoteReference">
    <w:name w:val="endnote reference"/>
    <w:basedOn w:val="DefaultParagraphFont"/>
    <w:uiPriority w:val="99"/>
    <w:semiHidden/>
    <w:unhideWhenUsed/>
    <w:rsid w:val="004A3C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377870">
      <w:bodyDiv w:val="1"/>
      <w:marLeft w:val="0"/>
      <w:marRight w:val="0"/>
      <w:marTop w:val="0"/>
      <w:marBottom w:val="0"/>
      <w:divBdr>
        <w:top w:val="none" w:sz="0" w:space="0" w:color="auto"/>
        <w:left w:val="none" w:sz="0" w:space="0" w:color="auto"/>
        <w:bottom w:val="none" w:sz="0" w:space="0" w:color="auto"/>
        <w:right w:val="none" w:sz="0" w:space="0" w:color="auto"/>
      </w:divBdr>
    </w:div>
    <w:div w:id="839006584">
      <w:bodyDiv w:val="1"/>
      <w:marLeft w:val="0"/>
      <w:marRight w:val="0"/>
      <w:marTop w:val="0"/>
      <w:marBottom w:val="0"/>
      <w:divBdr>
        <w:top w:val="none" w:sz="0" w:space="0" w:color="auto"/>
        <w:left w:val="none" w:sz="0" w:space="0" w:color="auto"/>
        <w:bottom w:val="none" w:sz="0" w:space="0" w:color="auto"/>
        <w:right w:val="none" w:sz="0" w:space="0" w:color="auto"/>
      </w:divBdr>
    </w:div>
    <w:div w:id="1211306941">
      <w:bodyDiv w:val="1"/>
      <w:marLeft w:val="0"/>
      <w:marRight w:val="0"/>
      <w:marTop w:val="0"/>
      <w:marBottom w:val="0"/>
      <w:divBdr>
        <w:top w:val="none" w:sz="0" w:space="0" w:color="auto"/>
        <w:left w:val="none" w:sz="0" w:space="0" w:color="auto"/>
        <w:bottom w:val="none" w:sz="0" w:space="0" w:color="auto"/>
        <w:right w:val="none" w:sz="0" w:space="0" w:color="auto"/>
      </w:divBdr>
    </w:div>
    <w:div w:id="1376469148">
      <w:bodyDiv w:val="1"/>
      <w:marLeft w:val="0"/>
      <w:marRight w:val="0"/>
      <w:marTop w:val="0"/>
      <w:marBottom w:val="0"/>
      <w:divBdr>
        <w:top w:val="none" w:sz="0" w:space="0" w:color="auto"/>
        <w:left w:val="none" w:sz="0" w:space="0" w:color="auto"/>
        <w:bottom w:val="none" w:sz="0" w:space="0" w:color="auto"/>
        <w:right w:val="none" w:sz="0" w:space="0" w:color="auto"/>
      </w:divBdr>
    </w:div>
    <w:div w:id="1658192373">
      <w:bodyDiv w:val="1"/>
      <w:marLeft w:val="0"/>
      <w:marRight w:val="0"/>
      <w:marTop w:val="0"/>
      <w:marBottom w:val="0"/>
      <w:divBdr>
        <w:top w:val="none" w:sz="0" w:space="0" w:color="auto"/>
        <w:left w:val="none" w:sz="0" w:space="0" w:color="auto"/>
        <w:bottom w:val="none" w:sz="0" w:space="0" w:color="auto"/>
        <w:right w:val="none" w:sz="0" w:space="0" w:color="auto"/>
      </w:divBdr>
    </w:div>
    <w:div w:id="1752502625">
      <w:bodyDiv w:val="1"/>
      <w:marLeft w:val="0"/>
      <w:marRight w:val="0"/>
      <w:marTop w:val="0"/>
      <w:marBottom w:val="0"/>
      <w:divBdr>
        <w:top w:val="none" w:sz="0" w:space="0" w:color="auto"/>
        <w:left w:val="none" w:sz="0" w:space="0" w:color="auto"/>
        <w:bottom w:val="none" w:sz="0" w:space="0" w:color="auto"/>
        <w:right w:val="none" w:sz="0" w:space="0" w:color="auto"/>
      </w:divBdr>
    </w:div>
    <w:div w:id="190795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doi.org/10.1186/s12936-025-05421-7" TargetMode="External"/><Relationship Id="rId1" Type="http://schemas.openxmlformats.org/officeDocument/2006/relationships/hyperlink" Target="https://doi.org/10.1186/s12936-024-04989-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481431b-e6fc-4719-8b6d-4f8d91efa58f" xsi:nil="true"/>
    <lcf76f155ced4ddcb4097134ff3c332f xmlns="979d924f-77bb-4461-9bbb-f56a0660cfe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CA2F51B59C794090B0E3400A740413" ma:contentTypeVersion="10" ma:contentTypeDescription="Create a new document." ma:contentTypeScope="" ma:versionID="81c1ad49eeff31e7cc28240fdf023759">
  <xsd:schema xmlns:xsd="http://www.w3.org/2001/XMLSchema" xmlns:xs="http://www.w3.org/2001/XMLSchema" xmlns:p="http://schemas.microsoft.com/office/2006/metadata/properties" xmlns:ns2="979d924f-77bb-4461-9bbb-f56a0660cfe4" xmlns:ns3="c481431b-e6fc-4719-8b6d-4f8d91efa58f" targetNamespace="http://schemas.microsoft.com/office/2006/metadata/properties" ma:root="true" ma:fieldsID="15f61e9642cb16bea54dd645bc60c3b5" ns2:_="" ns3:_="">
    <xsd:import namespace="979d924f-77bb-4461-9bbb-f56a0660cfe4"/>
    <xsd:import namespace="c481431b-e6fc-4719-8b6d-4f8d91efa5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d924f-77bb-4461-9bbb-f56a0660c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be66e25-6253-4f8b-9755-5684a1ad782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81431b-e6fc-4719-8b6d-4f8d91efa58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aaaf1b5-086a-4468-99dd-726c65d6b376}" ma:internalName="TaxCatchAll" ma:showField="CatchAllData" ma:web="c481431b-e6fc-4719-8b6d-4f8d91efa5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4D5DB-4819-40B8-84A6-0AE5EF1880D9}">
  <ds:schemaRefs>
    <ds:schemaRef ds:uri="http://schemas.microsoft.com/sharepoint/v3/contenttype/forms"/>
  </ds:schemaRefs>
</ds:datastoreItem>
</file>

<file path=customXml/itemProps2.xml><?xml version="1.0" encoding="utf-8"?>
<ds:datastoreItem xmlns:ds="http://schemas.openxmlformats.org/officeDocument/2006/customXml" ds:itemID="{39403696-60A1-4956-A188-E6B5CF2A2FD2}">
  <ds:schemaRefs>
    <ds:schemaRef ds:uri="http://schemas.microsoft.com/office/2006/metadata/properties"/>
    <ds:schemaRef ds:uri="http://schemas.microsoft.com/office/infopath/2007/PartnerControls"/>
    <ds:schemaRef ds:uri="c481431b-e6fc-4719-8b6d-4f8d91efa58f"/>
    <ds:schemaRef ds:uri="979d924f-77bb-4461-9bbb-f56a0660cfe4"/>
  </ds:schemaRefs>
</ds:datastoreItem>
</file>

<file path=customXml/itemProps3.xml><?xml version="1.0" encoding="utf-8"?>
<ds:datastoreItem xmlns:ds="http://schemas.openxmlformats.org/officeDocument/2006/customXml" ds:itemID="{BC75DBD7-2DA1-4853-9F6E-92595B46F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d924f-77bb-4461-9bbb-f56a0660cfe4"/>
    <ds:schemaRef ds:uri="c481431b-e6fc-4719-8b6d-4f8d91efa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E9A04B-92A6-407B-8F46-9947AB9FA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2581</TotalTime>
  <Pages>8</Pages>
  <Words>1815</Words>
  <Characters>9515</Characters>
  <Application>Microsoft Office Word</Application>
  <DocSecurity>0</DocSecurity>
  <Lines>279</Lines>
  <Paragraphs>164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11166</CharactersWithSpaces>
  <SharedDoc>false</SharedDoc>
  <HLinks>
    <vt:vector size="12" baseType="variant">
      <vt:variant>
        <vt:i4>2228279</vt:i4>
      </vt:variant>
      <vt:variant>
        <vt:i4>3</vt:i4>
      </vt:variant>
      <vt:variant>
        <vt:i4>0</vt:i4>
      </vt:variant>
      <vt:variant>
        <vt:i4>5</vt:i4>
      </vt:variant>
      <vt:variant>
        <vt:lpwstr>https://doi.org/10.1186/s12936-025-05421-7</vt:lpwstr>
      </vt:variant>
      <vt:variant>
        <vt:lpwstr/>
      </vt:variant>
      <vt:variant>
        <vt:i4>6684732</vt:i4>
      </vt:variant>
      <vt:variant>
        <vt:i4>0</vt:i4>
      </vt:variant>
      <vt:variant>
        <vt:i4>0</vt:i4>
      </vt:variant>
      <vt:variant>
        <vt:i4>5</vt:i4>
      </vt:variant>
      <vt:variant>
        <vt:lpwstr>https://doi.org/10.1186/s12936-024-04989-w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Katheleen Linton</dc:creator>
  <cp:keywords/>
  <dc:description/>
  <cp:lastModifiedBy>Elisabeth Tyler</cp:lastModifiedBy>
  <cp:revision>566</cp:revision>
  <cp:lastPrinted>2026-01-08T19:41:00Z</cp:lastPrinted>
  <dcterms:created xsi:type="dcterms:W3CDTF">2024-10-30T16:59:00Z</dcterms:created>
  <dcterms:modified xsi:type="dcterms:W3CDTF">2026-04-17T13:52:00Z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0x010100DECA2F51B59C794090B0E3400A740413</vt:lpwstr>
  </property>
  <property fmtid="{D5CDD505-2E9C-101B-9397-08002B2CF9AE}" pid="3" name="MediaServiceImageTags">
    <vt:lpwstr/>
  </property>
</Properties>
</file>